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3B3302" w:rsidRDefault="007743B7">
      <w:pPr>
        <w:rPr>
          <w:rFonts w:asciiTheme="minorHAnsi" w:hAnsiTheme="minorHAnsi"/>
        </w:rPr>
      </w:pPr>
    </w:p>
    <w:p w14:paraId="0A68FAA4" w14:textId="77777777" w:rsidR="00F60464" w:rsidRPr="003B3302" w:rsidRDefault="00F60464">
      <w:pPr>
        <w:rPr>
          <w:rFonts w:asciiTheme="minorHAnsi" w:hAnsiTheme="minorHAnsi"/>
        </w:rPr>
      </w:pPr>
    </w:p>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4"/>
        <w:gridCol w:w="8251"/>
        <w:gridCol w:w="698"/>
      </w:tblGrid>
      <w:tr w:rsidR="00201506" w:rsidRPr="003B3302" w14:paraId="6D619A3E" w14:textId="77777777" w:rsidTr="00C815C9">
        <w:trPr>
          <w:trHeight w:val="592"/>
        </w:trPr>
        <w:tc>
          <w:tcPr>
            <w:tcW w:w="702" w:type="dxa"/>
            <w:shd w:val="clear" w:color="auto" w:fill="auto"/>
            <w:vAlign w:val="center"/>
          </w:tcPr>
          <w:p w14:paraId="22690FFB" w14:textId="77777777" w:rsidR="00201506" w:rsidRPr="003B3302"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3B3302"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3B3302" w:rsidRDefault="00201506" w:rsidP="00794499">
            <w:pPr>
              <w:jc w:val="center"/>
              <w:rPr>
                <w:rFonts w:asciiTheme="minorHAnsi" w:hAnsiTheme="minorHAnsi"/>
              </w:rPr>
            </w:pPr>
          </w:p>
        </w:tc>
      </w:tr>
      <w:tr w:rsidR="00201506" w:rsidRPr="003B3302"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3B3302"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7FA8FBAA" w:rsidR="000020E6" w:rsidRPr="003B3302" w:rsidRDefault="000020E6" w:rsidP="00C815C9">
            <w:pPr>
              <w:jc w:val="center"/>
              <w:rPr>
                <w:rFonts w:asciiTheme="minorHAnsi" w:hAnsiTheme="minorHAnsi"/>
                <w:b/>
                <w:bCs/>
                <w:color w:val="FFFFFF" w:themeColor="background1"/>
                <w:sz w:val="40"/>
                <w:szCs w:val="40"/>
              </w:rPr>
            </w:pPr>
            <w:bookmarkStart w:id="0" w:name="_Hlk180564343"/>
          </w:p>
          <w:p w14:paraId="2A1A4B1D" w14:textId="58684C4E" w:rsidR="0091117F" w:rsidRPr="003B3302" w:rsidRDefault="0091117F" w:rsidP="00C815C9">
            <w:pPr>
              <w:jc w:val="center"/>
              <w:rPr>
                <w:rFonts w:asciiTheme="minorHAnsi" w:hAnsiTheme="minorHAnsi"/>
                <w:b/>
                <w:bCs/>
                <w:color w:val="FFFFFF" w:themeColor="background1"/>
                <w:sz w:val="40"/>
                <w:szCs w:val="40"/>
              </w:rPr>
            </w:pPr>
            <w:r w:rsidRPr="003B3302">
              <w:rPr>
                <w:rFonts w:asciiTheme="minorHAnsi" w:hAnsiTheme="minorHAnsi"/>
                <w:b/>
                <w:bCs/>
                <w:color w:val="FFFFFF" w:themeColor="background1"/>
                <w:sz w:val="40"/>
                <w:szCs w:val="40"/>
              </w:rPr>
              <w:t>ПРАКТИЧЕН ВОДИЧ ЗА ЗЕЛЕНО ФИНАНСИРАЊЕ</w:t>
            </w:r>
          </w:p>
          <w:bookmarkEnd w:id="0"/>
          <w:p w14:paraId="154717B4" w14:textId="372E20E5" w:rsidR="00C815C9" w:rsidRPr="003B3302" w:rsidRDefault="00C815C9" w:rsidP="00C815C9">
            <w:pPr>
              <w:jc w:val="center"/>
              <w:rPr>
                <w:rFonts w:asciiTheme="minorHAnsi" w:hAnsiTheme="minorHAnsi"/>
                <w:caps/>
              </w:rPr>
            </w:pPr>
          </w:p>
        </w:tc>
        <w:tc>
          <w:tcPr>
            <w:tcW w:w="717" w:type="dxa"/>
            <w:tcBorders>
              <w:left w:val="single" w:sz="12" w:space="0" w:color="008000"/>
            </w:tcBorders>
            <w:shd w:val="clear" w:color="auto" w:fill="auto"/>
            <w:vAlign w:val="center"/>
          </w:tcPr>
          <w:p w14:paraId="63650B16" w14:textId="77777777" w:rsidR="00201506" w:rsidRPr="003B3302" w:rsidRDefault="00201506" w:rsidP="00794499">
            <w:pPr>
              <w:jc w:val="center"/>
              <w:rPr>
                <w:rFonts w:asciiTheme="minorHAnsi" w:hAnsiTheme="minorHAnsi"/>
              </w:rPr>
            </w:pPr>
          </w:p>
        </w:tc>
      </w:tr>
      <w:tr w:rsidR="00201506" w:rsidRPr="003B3302" w14:paraId="73BC8281" w14:textId="77777777" w:rsidTr="00C815C9">
        <w:trPr>
          <w:trHeight w:val="592"/>
        </w:trPr>
        <w:tc>
          <w:tcPr>
            <w:tcW w:w="702" w:type="dxa"/>
            <w:shd w:val="clear" w:color="auto" w:fill="auto"/>
            <w:vAlign w:val="center"/>
          </w:tcPr>
          <w:p w14:paraId="316C697A" w14:textId="77777777" w:rsidR="00201506" w:rsidRPr="003B3302"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3B3302"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3B3302" w:rsidRDefault="00201506" w:rsidP="00794499">
            <w:pPr>
              <w:jc w:val="center"/>
              <w:rPr>
                <w:rFonts w:asciiTheme="minorHAnsi" w:hAnsiTheme="minorHAnsi"/>
              </w:rPr>
            </w:pPr>
          </w:p>
        </w:tc>
      </w:tr>
    </w:tbl>
    <w:p w14:paraId="03F891E0" w14:textId="77777777" w:rsidR="007743B7" w:rsidRPr="003B3302" w:rsidRDefault="007743B7">
      <w:pPr>
        <w:rPr>
          <w:rFonts w:asciiTheme="minorHAnsi" w:hAnsiTheme="minorHAnsi"/>
        </w:rPr>
      </w:pPr>
    </w:p>
    <w:p w14:paraId="4696AAE5" w14:textId="77777777" w:rsidR="00F60464" w:rsidRPr="003B3302" w:rsidRDefault="00F60464">
      <w:pPr>
        <w:rPr>
          <w:rFonts w:asciiTheme="minorHAnsi" w:hAnsiTheme="minorHAnsi"/>
        </w:rPr>
      </w:pPr>
    </w:p>
    <w:p w14:paraId="39D3791F" w14:textId="1E8B4EF7" w:rsidR="00F05BAE" w:rsidRPr="003B3302" w:rsidRDefault="002B5C60" w:rsidP="00F05BAE">
      <w:pPr>
        <w:rPr>
          <w:rFonts w:asciiTheme="minorHAnsi" w:hAnsiTheme="minorHAnsi"/>
          <w:b/>
          <w:bCs/>
        </w:rPr>
      </w:pPr>
      <w:r w:rsidRPr="003B3302">
        <w:rPr>
          <w:rFonts w:asciiTheme="minorHAnsi" w:hAnsiTheme="minorHAnsi"/>
          <w:b/>
          <w:bCs/>
        </w:rPr>
        <w:t>Информации за документот:</w:t>
      </w:r>
    </w:p>
    <w:tbl>
      <w:tblPr>
        <w:tblStyle w:val="TableGrid"/>
        <w:tblW w:w="9878" w:type="dxa"/>
        <w:tblLook w:val="04A0" w:firstRow="1" w:lastRow="0" w:firstColumn="1" w:lastColumn="0" w:noHBand="0" w:noVBand="1"/>
      </w:tblPr>
      <w:tblGrid>
        <w:gridCol w:w="2518"/>
        <w:gridCol w:w="7360"/>
      </w:tblGrid>
      <w:tr w:rsidR="0091348E" w:rsidRPr="003B3302" w14:paraId="2B89766E" w14:textId="77777777" w:rsidTr="007743B7">
        <w:trPr>
          <w:trHeight w:val="439"/>
        </w:trPr>
        <w:tc>
          <w:tcPr>
            <w:tcW w:w="2518" w:type="dxa"/>
            <w:shd w:val="clear" w:color="auto" w:fill="C6D9F1" w:themeFill="text2" w:themeFillTint="33"/>
            <w:vAlign w:val="center"/>
          </w:tcPr>
          <w:p w14:paraId="00DA7095" w14:textId="071455D6" w:rsidR="00F05BAE" w:rsidRPr="003B3302" w:rsidRDefault="002B5C60" w:rsidP="00794499">
            <w:pPr>
              <w:jc w:val="both"/>
              <w:rPr>
                <w:rFonts w:asciiTheme="minorHAnsi" w:hAnsiTheme="minorHAnsi"/>
              </w:rPr>
            </w:pPr>
            <w:r w:rsidRPr="003B3302">
              <w:rPr>
                <w:rFonts w:asciiTheme="minorHAnsi" w:hAnsiTheme="minorHAnsi"/>
              </w:rPr>
              <w:t>Резултат од активноста:</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2E09FDAC" w:rsidR="00F05BAE" w:rsidRPr="003B3302" w:rsidRDefault="00EC7000" w:rsidP="00794499">
                <w:pPr>
                  <w:rPr>
                    <w:rFonts w:asciiTheme="minorHAnsi" w:hAnsiTheme="minorHAnsi"/>
                  </w:rPr>
                </w:pPr>
                <w:r>
                  <w:rPr>
                    <w:rFonts w:asciiTheme="minorHAnsi" w:hAnsiTheme="minorHAnsi"/>
                  </w:rPr>
                  <w:t>А5 Развој едукативних алата за озелењавање пословања</w:t>
                </w:r>
              </w:p>
            </w:tc>
          </w:sdtContent>
        </w:sdt>
      </w:tr>
      <w:tr w:rsidR="0091348E" w:rsidRPr="003B3302" w14:paraId="35D789BF" w14:textId="77777777" w:rsidTr="007743B7">
        <w:trPr>
          <w:trHeight w:val="439"/>
        </w:trPr>
        <w:tc>
          <w:tcPr>
            <w:tcW w:w="2518" w:type="dxa"/>
            <w:shd w:val="clear" w:color="auto" w:fill="C6D9F1" w:themeFill="text2" w:themeFillTint="33"/>
            <w:vAlign w:val="center"/>
          </w:tcPr>
          <w:p w14:paraId="5391220B" w14:textId="4AD0286A" w:rsidR="006F315F" w:rsidRPr="003B3302" w:rsidRDefault="006F315F" w:rsidP="006F315F">
            <w:pPr>
              <w:jc w:val="both"/>
              <w:rPr>
                <w:rFonts w:asciiTheme="minorHAnsi" w:hAnsiTheme="minorHAnsi"/>
              </w:rPr>
            </w:pPr>
            <w:r w:rsidRPr="003B3302">
              <w:rPr>
                <w:rFonts w:asciiTheme="minorHAnsi" w:hAnsiTheme="minorHAnsi"/>
              </w:rPr>
              <w:t>Тип на документ:</w:t>
            </w:r>
          </w:p>
        </w:tc>
        <w:tc>
          <w:tcPr>
            <w:tcW w:w="7360" w:type="dxa"/>
            <w:vAlign w:val="center"/>
          </w:tcPr>
          <w:p w14:paraId="01D3CFCD" w14:textId="5B1DD254" w:rsidR="006F315F" w:rsidRPr="003B3302" w:rsidRDefault="0091117F" w:rsidP="006F315F">
            <w:pPr>
              <w:rPr>
                <w:rFonts w:asciiTheme="minorHAnsi" w:hAnsiTheme="minorHAnsi"/>
              </w:rPr>
            </w:pPr>
            <w:r w:rsidRPr="003B3302">
              <w:rPr>
                <w:rFonts w:asciiTheme="minorHAnsi" w:hAnsiTheme="minorHAnsi"/>
              </w:rPr>
              <w:t>Водич</w:t>
            </w:r>
          </w:p>
        </w:tc>
      </w:tr>
      <w:tr w:rsidR="0091348E" w:rsidRPr="003B3302" w14:paraId="4B7B7ED8" w14:textId="77777777" w:rsidTr="007743B7">
        <w:trPr>
          <w:trHeight w:val="439"/>
        </w:trPr>
        <w:tc>
          <w:tcPr>
            <w:tcW w:w="2518" w:type="dxa"/>
            <w:shd w:val="clear" w:color="auto" w:fill="C6D9F1" w:themeFill="text2" w:themeFillTint="33"/>
            <w:vAlign w:val="center"/>
          </w:tcPr>
          <w:p w14:paraId="05D28059" w14:textId="41C72A85" w:rsidR="007743B7" w:rsidRPr="003B3302" w:rsidRDefault="007743B7" w:rsidP="007743B7">
            <w:pPr>
              <w:jc w:val="both"/>
              <w:rPr>
                <w:rFonts w:asciiTheme="minorHAnsi" w:hAnsiTheme="minorHAnsi"/>
              </w:rPr>
            </w:pPr>
            <w:r w:rsidRPr="003B3302">
              <w:rPr>
                <w:rFonts w:asciiTheme="minorHAnsi" w:hAnsiTheme="minorHAnsi"/>
              </w:rPr>
              <w:t>Одговорен партнер:</w:t>
            </w:r>
          </w:p>
        </w:tc>
        <w:sdt>
          <w:sdtPr>
            <w:rPr>
              <w:rFonts w:asciiTheme="minorHAnsi" w:hAnsiTheme="minorHAnsi"/>
            </w:rPr>
            <w:id w:val="-1904670498"/>
            <w:placeholder>
              <w:docPart w:val="7A69FBF6854244CC9CBB0DBBFF6AA25D"/>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77928815" w14:textId="2B7B6665" w:rsidR="007743B7" w:rsidRPr="003B3302" w:rsidRDefault="00AD1FAB" w:rsidP="007743B7">
                <w:pPr>
                  <w:rPr>
                    <w:rFonts w:asciiTheme="minorHAnsi" w:hAnsiTheme="minorHAnsi"/>
                  </w:rPr>
                </w:pPr>
                <w:r>
                  <w:rPr>
                    <w:rFonts w:asciiTheme="minorHAnsi" w:hAnsiTheme="minorHAnsi"/>
                  </w:rPr>
                  <w:t>Занатска комора Скопље Северна Македонија</w:t>
                </w:r>
              </w:p>
            </w:tc>
          </w:sdtContent>
        </w:sdt>
      </w:tr>
      <w:tr w:rsidR="0091348E" w:rsidRPr="003B3302" w14:paraId="6D1BD434" w14:textId="77777777" w:rsidTr="007743B7">
        <w:trPr>
          <w:trHeight w:val="439"/>
        </w:trPr>
        <w:tc>
          <w:tcPr>
            <w:tcW w:w="2518" w:type="dxa"/>
            <w:shd w:val="clear" w:color="auto" w:fill="C6D9F1" w:themeFill="text2" w:themeFillTint="33"/>
            <w:vAlign w:val="center"/>
          </w:tcPr>
          <w:p w14:paraId="5F063FEE" w14:textId="7C2D3243" w:rsidR="007743B7" w:rsidRPr="003B3302" w:rsidRDefault="007743B7" w:rsidP="007743B7">
            <w:pPr>
              <w:jc w:val="both"/>
              <w:rPr>
                <w:rFonts w:asciiTheme="minorHAnsi" w:hAnsiTheme="minorHAnsi"/>
              </w:rPr>
            </w:pPr>
            <w:r w:rsidRPr="003B3302">
              <w:rPr>
                <w:rFonts w:asciiTheme="minorHAnsi" w:hAnsiTheme="minorHAnsi"/>
              </w:rPr>
              <w:t>Ниво на дисеминација:</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3B3302" w:rsidRDefault="007743B7" w:rsidP="007743B7">
                <w:pPr>
                  <w:jc w:val="both"/>
                  <w:rPr>
                    <w:rFonts w:asciiTheme="minorHAnsi" w:hAnsiTheme="minorHAnsi"/>
                  </w:rPr>
                </w:pPr>
                <w:r w:rsidRPr="003B3302">
                  <w:rPr>
                    <w:rFonts w:asciiTheme="minorHAnsi" w:hAnsiTheme="minorHAnsi"/>
                  </w:rPr>
                  <w:t>Јавно</w:t>
                </w:r>
              </w:p>
            </w:tc>
          </w:sdtContent>
        </w:sdt>
      </w:tr>
    </w:tbl>
    <w:p w14:paraId="7FC944C6" w14:textId="77777777" w:rsidR="001B5FE5" w:rsidRPr="003B3302" w:rsidRDefault="001B5FE5">
      <w:pPr>
        <w:rPr>
          <w:rFonts w:asciiTheme="minorHAnsi" w:hAnsiTheme="minorHAnsi"/>
        </w:rPr>
      </w:pPr>
    </w:p>
    <w:p w14:paraId="08F2833C" w14:textId="5AA144E6" w:rsidR="007743B7" w:rsidRPr="003B3302" w:rsidRDefault="007743B7">
      <w:pPr>
        <w:rPr>
          <w:rFonts w:asciiTheme="minorHAnsi" w:hAnsiTheme="minorHAnsi"/>
        </w:rPr>
      </w:pPr>
      <w:r w:rsidRPr="003B3302">
        <w:rPr>
          <w:rFonts w:asciiTheme="minorHAnsi" w:hAnsiTheme="minorHAnsi"/>
          <w:b/>
          <w:bCs/>
        </w:rPr>
        <w:t>Историја на документ:</w:t>
      </w:r>
    </w:p>
    <w:tbl>
      <w:tblPr>
        <w:tblStyle w:val="TableGrid"/>
        <w:tblW w:w="0" w:type="auto"/>
        <w:tblLook w:val="04A0" w:firstRow="1" w:lastRow="0" w:firstColumn="1" w:lastColumn="0" w:noHBand="0" w:noVBand="1"/>
      </w:tblPr>
      <w:tblGrid>
        <w:gridCol w:w="2409"/>
        <w:gridCol w:w="2409"/>
        <w:gridCol w:w="2422"/>
        <w:gridCol w:w="2413"/>
      </w:tblGrid>
      <w:tr w:rsidR="00F60464" w:rsidRPr="003B3302"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3B3302" w:rsidRDefault="007743B7" w:rsidP="00794499">
            <w:pPr>
              <w:spacing w:before="60" w:after="60"/>
              <w:jc w:val="center"/>
              <w:rPr>
                <w:rFonts w:asciiTheme="minorHAnsi" w:hAnsiTheme="minorHAnsi"/>
              </w:rPr>
            </w:pPr>
            <w:r w:rsidRPr="003B3302">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3B3302" w:rsidRDefault="007743B7" w:rsidP="00794499">
            <w:pPr>
              <w:spacing w:before="60" w:after="60"/>
              <w:jc w:val="center"/>
              <w:rPr>
                <w:rFonts w:asciiTheme="minorHAnsi" w:hAnsiTheme="minorHAnsi"/>
              </w:rPr>
            </w:pPr>
            <w:r w:rsidRPr="003B3302">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3B3302" w:rsidRDefault="007743B7" w:rsidP="00794499">
            <w:pPr>
              <w:spacing w:before="60" w:after="60"/>
              <w:jc w:val="center"/>
              <w:rPr>
                <w:rFonts w:asciiTheme="minorHAnsi" w:hAnsiTheme="minorHAnsi"/>
              </w:rPr>
            </w:pPr>
            <w:r w:rsidRPr="003B3302">
              <w:rPr>
                <w:rFonts w:asciiTheme="minorHAnsi" w:hAnsiTheme="minorHAnsi"/>
              </w:rPr>
              <w:t>Опис /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3B3302" w:rsidRDefault="007743B7" w:rsidP="00794499">
            <w:pPr>
              <w:spacing w:before="60" w:after="60"/>
              <w:jc w:val="center"/>
              <w:rPr>
                <w:rFonts w:asciiTheme="minorHAnsi" w:hAnsiTheme="minorHAnsi"/>
              </w:rPr>
            </w:pPr>
            <w:r w:rsidRPr="003B3302">
              <w:rPr>
                <w:rFonts w:asciiTheme="minorHAnsi" w:hAnsiTheme="minorHAnsi"/>
              </w:rPr>
              <w:t>Автор(и)</w:t>
            </w:r>
          </w:p>
        </w:tc>
      </w:tr>
      <w:tr w:rsidR="00787C68" w:rsidRPr="003B3302" w14:paraId="67A228A8" w14:textId="77777777" w:rsidTr="003222E9">
        <w:tc>
          <w:tcPr>
            <w:tcW w:w="2469" w:type="dxa"/>
            <w:vAlign w:val="center"/>
          </w:tcPr>
          <w:p w14:paraId="035EE6F5" w14:textId="77777777" w:rsidR="00787C68" w:rsidRPr="003B3302" w:rsidRDefault="00787C68" w:rsidP="003222E9">
            <w:pPr>
              <w:spacing w:before="60" w:after="60"/>
              <w:jc w:val="center"/>
              <w:rPr>
                <w:rFonts w:asciiTheme="minorHAnsi" w:hAnsiTheme="minorHAnsi"/>
              </w:rPr>
            </w:pPr>
            <w:r w:rsidRPr="003B3302">
              <w:rPr>
                <w:rFonts w:asciiTheme="minorHAnsi" w:hAnsiTheme="minorHAnsi"/>
              </w:rPr>
              <w:t>v1.0</w:t>
            </w:r>
          </w:p>
        </w:tc>
        <w:tc>
          <w:tcPr>
            <w:tcW w:w="2470" w:type="dxa"/>
            <w:vAlign w:val="center"/>
          </w:tcPr>
          <w:p w14:paraId="6ACF084A" w14:textId="0C398CAA" w:rsidR="00787C68" w:rsidRPr="003B3302" w:rsidRDefault="006A4D5A" w:rsidP="003222E9">
            <w:pPr>
              <w:spacing w:before="60" w:after="60"/>
              <w:jc w:val="center"/>
              <w:rPr>
                <w:rFonts w:asciiTheme="minorHAnsi" w:hAnsiTheme="minorHAnsi"/>
              </w:rPr>
            </w:pPr>
            <w:r>
              <w:rPr>
                <w:rFonts w:asciiTheme="minorHAnsi" w:hAnsiTheme="minorHAnsi"/>
                <w:lang w:val="sr-Latn-RS"/>
              </w:rPr>
              <w:t xml:space="preserve">11 </w:t>
            </w:r>
            <w:r w:rsidR="00787C68" w:rsidRPr="003B3302">
              <w:rPr>
                <w:rFonts w:asciiTheme="minorHAnsi" w:hAnsiTheme="minorHAnsi"/>
              </w:rPr>
              <w:t xml:space="preserve">.0 </w:t>
            </w:r>
            <w:r>
              <w:rPr>
                <w:rFonts w:asciiTheme="minorHAnsi" w:hAnsiTheme="minorHAnsi"/>
                <w:lang w:val="sr-Latn-RS"/>
              </w:rPr>
              <w:t xml:space="preserve">4 </w:t>
            </w:r>
            <w:r w:rsidR="00787C68" w:rsidRPr="003B3302">
              <w:rPr>
                <w:rFonts w:asciiTheme="minorHAnsi" w:hAnsiTheme="minorHAnsi"/>
              </w:rPr>
              <w:t>.2025 година.</w:t>
            </w:r>
          </w:p>
        </w:tc>
        <w:tc>
          <w:tcPr>
            <w:tcW w:w="2470" w:type="dxa"/>
            <w:vAlign w:val="center"/>
          </w:tcPr>
          <w:p w14:paraId="237DDD12" w14:textId="7A5DEAC4" w:rsidR="00787C68" w:rsidRPr="003B3302" w:rsidRDefault="00787C68" w:rsidP="003222E9">
            <w:pPr>
              <w:spacing w:before="60" w:after="60"/>
              <w:jc w:val="center"/>
              <w:rPr>
                <w:rFonts w:asciiTheme="minorHAnsi" w:hAnsiTheme="minorHAnsi"/>
              </w:rPr>
            </w:pPr>
            <w:r w:rsidRPr="003B3302">
              <w:rPr>
                <w:rFonts w:asciiTheme="minorHAnsi" w:hAnsiTheme="minorHAnsi"/>
              </w:rPr>
              <w:t>Нацрт</w:t>
            </w:r>
          </w:p>
        </w:tc>
        <w:tc>
          <w:tcPr>
            <w:tcW w:w="2470" w:type="dxa"/>
            <w:vMerge w:val="restart"/>
            <w:vAlign w:val="center"/>
          </w:tcPr>
          <w:p w14:paraId="2E96BB74" w14:textId="30560612" w:rsidR="00787C68" w:rsidRPr="003B3302" w:rsidRDefault="000E5568">
            <w:pPr>
              <w:pStyle w:val="ListParagraph"/>
              <w:numPr>
                <w:ilvl w:val="0"/>
                <w:numId w:val="1"/>
              </w:numPr>
              <w:spacing w:before="60" w:after="60"/>
              <w:rPr>
                <w:rFonts w:asciiTheme="minorHAnsi" w:hAnsiTheme="minorHAnsi"/>
                <w:sz w:val="20"/>
                <w:szCs w:val="20"/>
              </w:rPr>
            </w:pPr>
            <w:r w:rsidRPr="003B3302">
              <w:rPr>
                <w:rFonts w:asciiTheme="minorHAnsi" w:hAnsiTheme="minorHAnsi"/>
                <w:sz w:val="20"/>
                <w:szCs w:val="20"/>
              </w:rPr>
              <w:t>PMT</w:t>
            </w:r>
          </w:p>
        </w:tc>
      </w:tr>
      <w:tr w:rsidR="00787C68" w:rsidRPr="003B3302" w14:paraId="1345F947" w14:textId="77777777" w:rsidTr="00794499">
        <w:tc>
          <w:tcPr>
            <w:tcW w:w="2469" w:type="dxa"/>
            <w:vAlign w:val="bottom"/>
          </w:tcPr>
          <w:p w14:paraId="52FE94DD" w14:textId="77777777" w:rsidR="00787C68" w:rsidRPr="003B3302" w:rsidRDefault="00787C68" w:rsidP="00794499">
            <w:pPr>
              <w:spacing w:before="60" w:after="60"/>
              <w:jc w:val="center"/>
              <w:rPr>
                <w:rFonts w:asciiTheme="minorHAnsi" w:hAnsiTheme="minorHAnsi"/>
              </w:rPr>
            </w:pPr>
            <w:r w:rsidRPr="003B3302">
              <w:rPr>
                <w:rFonts w:asciiTheme="minorHAnsi" w:hAnsiTheme="minorHAnsi"/>
              </w:rPr>
              <w:t>верзија 2.0</w:t>
            </w:r>
          </w:p>
        </w:tc>
        <w:tc>
          <w:tcPr>
            <w:tcW w:w="2470" w:type="dxa"/>
            <w:vAlign w:val="center"/>
          </w:tcPr>
          <w:p w14:paraId="0BA1C857" w14:textId="221AC9DE" w:rsidR="00787C68" w:rsidRPr="003B3302" w:rsidRDefault="00787C68" w:rsidP="00794499">
            <w:pPr>
              <w:spacing w:before="60" w:after="60"/>
              <w:jc w:val="center"/>
              <w:rPr>
                <w:rFonts w:asciiTheme="minorHAnsi" w:hAnsiTheme="minorHAnsi"/>
              </w:rPr>
            </w:pPr>
          </w:p>
        </w:tc>
        <w:tc>
          <w:tcPr>
            <w:tcW w:w="2470" w:type="dxa"/>
            <w:vAlign w:val="bottom"/>
          </w:tcPr>
          <w:p w14:paraId="588F7437" w14:textId="77777777" w:rsidR="00787C68" w:rsidRPr="003B3302" w:rsidRDefault="00787C68" w:rsidP="009720F5">
            <w:pPr>
              <w:spacing w:before="60" w:after="60"/>
              <w:jc w:val="center"/>
              <w:rPr>
                <w:rFonts w:asciiTheme="minorHAnsi" w:hAnsiTheme="minorHAnsi"/>
              </w:rPr>
            </w:pPr>
            <w:r w:rsidRPr="003B3302">
              <w:rPr>
                <w:rFonts w:asciiTheme="minorHAnsi" w:hAnsiTheme="minorHAnsi"/>
              </w:rPr>
              <w:t>Конечна верзија</w:t>
            </w:r>
          </w:p>
        </w:tc>
        <w:tc>
          <w:tcPr>
            <w:tcW w:w="2470" w:type="dxa"/>
            <w:vMerge/>
            <w:vAlign w:val="center"/>
          </w:tcPr>
          <w:p w14:paraId="126A4E2E" w14:textId="17B4135B" w:rsidR="00787C68" w:rsidRPr="003B3302" w:rsidRDefault="00787C68" w:rsidP="00787C68">
            <w:pPr>
              <w:spacing w:before="60" w:after="60"/>
              <w:jc w:val="center"/>
              <w:rPr>
                <w:rFonts w:asciiTheme="minorHAnsi" w:hAnsiTheme="minorHAnsi"/>
              </w:rPr>
            </w:pPr>
          </w:p>
        </w:tc>
      </w:tr>
    </w:tbl>
    <w:p w14:paraId="228CC9A4" w14:textId="77777777" w:rsidR="001B5FE5" w:rsidRPr="003B3302" w:rsidRDefault="001B5FE5">
      <w:pPr>
        <w:rPr>
          <w:rFonts w:asciiTheme="minorHAnsi" w:hAnsiTheme="minorHAnsi"/>
        </w:rPr>
      </w:pPr>
    </w:p>
    <w:p w14:paraId="3DBB43FD" w14:textId="77777777" w:rsidR="00787C68" w:rsidRPr="003B3302" w:rsidRDefault="00787C68">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3B3302" w14:paraId="2EABAC36" w14:textId="77777777" w:rsidTr="001B5FE5">
        <w:tc>
          <w:tcPr>
            <w:tcW w:w="9879" w:type="dxa"/>
          </w:tcPr>
          <w:p w14:paraId="5A41F047" w14:textId="12D8220C" w:rsidR="001B5FE5" w:rsidRPr="003B3302" w:rsidRDefault="001B5FE5" w:rsidP="001B5FE5">
            <w:pPr>
              <w:tabs>
                <w:tab w:val="left" w:pos="5724"/>
              </w:tabs>
              <w:jc w:val="both"/>
              <w:rPr>
                <w:rFonts w:asciiTheme="minorHAnsi" w:hAnsiTheme="minorHAnsi"/>
                <w:b/>
                <w:bCs/>
              </w:rPr>
            </w:pPr>
            <w:r w:rsidRPr="003B3302">
              <w:rPr>
                <w:rFonts w:asciiTheme="minorHAnsi" w:hAnsiTheme="minorHAnsi"/>
                <w:b/>
                <w:bCs/>
              </w:rPr>
              <w:t>Одрекување:</w:t>
            </w:r>
          </w:p>
        </w:tc>
      </w:tr>
      <w:tr w:rsidR="00F60464" w:rsidRPr="003B3302" w14:paraId="40749F26" w14:textId="77777777" w:rsidTr="001B5FE5">
        <w:tc>
          <w:tcPr>
            <w:tcW w:w="9879" w:type="dxa"/>
          </w:tcPr>
          <w:p w14:paraId="0AFA53FC" w14:textId="089EEEF8" w:rsidR="001B5FE5" w:rsidRPr="003B3302" w:rsidRDefault="001B5FE5" w:rsidP="001B5FE5">
            <w:pPr>
              <w:tabs>
                <w:tab w:val="left" w:pos="5724"/>
              </w:tabs>
              <w:jc w:val="both"/>
              <w:rPr>
                <w:rFonts w:asciiTheme="minorHAnsi" w:hAnsiTheme="minorHAnsi"/>
              </w:rPr>
            </w:pPr>
            <w:r w:rsidRPr="003B3302">
              <w:rPr>
                <w:rFonts w:asciiTheme="minorHAnsi" w:hAnsiTheme="minorHAnsi"/>
              </w:rPr>
              <w:t>Финансиран од Европската Унија. Изразените ставови се само на авторот и не мора да ги одразуваат ставовите на Европската Унија или Фондацијата Темпус. Под никакви околности Европската унија или давателот на грантот не можат да бидат одговорни за нивната содржина.</w:t>
            </w:r>
          </w:p>
        </w:tc>
      </w:tr>
    </w:tbl>
    <w:p w14:paraId="46196CF8" w14:textId="77777777" w:rsidR="007743B7" w:rsidRPr="003B3302" w:rsidRDefault="007743B7" w:rsidP="007743B7">
      <w:pPr>
        <w:rPr>
          <w:rFonts w:asciiTheme="minorHAnsi" w:hAnsiTheme="minorHAnsi"/>
        </w:rPr>
      </w:pPr>
    </w:p>
    <w:p w14:paraId="2B1DEDB3" w14:textId="77777777" w:rsidR="00F60464" w:rsidRPr="003B3302" w:rsidRDefault="00F60464" w:rsidP="007743B7">
      <w:pPr>
        <w:rPr>
          <w:rFonts w:asciiTheme="minorHAnsi" w:hAnsiTheme="minorHAnsi"/>
        </w:rPr>
      </w:pPr>
    </w:p>
    <w:sdt>
      <w:sdtPr>
        <w:rPr>
          <w:rFonts w:asciiTheme="minorHAnsi" w:eastAsia="Times New Roman" w:hAnsiTheme="minorHAnsi" w:cstheme="minorHAnsi"/>
          <w:color w:val="auto"/>
          <w:sz w:val="22"/>
          <w:szCs w:val="22"/>
          <w:lang w:val="sr-Cyrl-RS"/>
        </w:rPr>
        <w:id w:val="1715770131"/>
        <w:docPartObj>
          <w:docPartGallery w:val="Table of Contents"/>
          <w:docPartUnique/>
        </w:docPartObj>
      </w:sdtPr>
      <w:sdtEndPr>
        <w:rPr>
          <w:b/>
          <w:bCs/>
        </w:rPr>
      </w:sdtEndPr>
      <w:sdtContent>
        <w:p w14:paraId="5876397D" w14:textId="77777777" w:rsidR="007743B7" w:rsidRPr="003B3302" w:rsidRDefault="007743B7" w:rsidP="007743B7">
          <w:pPr>
            <w:pStyle w:val="TOCHeading"/>
            <w:rPr>
              <w:rFonts w:asciiTheme="minorHAnsi" w:hAnsiTheme="minorHAnsi" w:cstheme="minorHAnsi"/>
              <w:color w:val="008000"/>
              <w:sz w:val="22"/>
              <w:szCs w:val="22"/>
              <w:lang w:val="sr-Cyrl-RS"/>
            </w:rPr>
          </w:pPr>
          <w:r w:rsidRPr="003B3302">
            <w:rPr>
              <w:rFonts w:asciiTheme="minorHAnsi" w:hAnsiTheme="minorHAnsi" w:cstheme="minorHAnsi"/>
              <w:b/>
              <w:bCs/>
              <w:color w:val="008000"/>
              <w:sz w:val="22"/>
              <w:szCs w:val="22"/>
              <w:lang w:val="sr-Cyrl-RS"/>
            </w:rPr>
            <w:t>Содржини</w:t>
          </w:r>
        </w:p>
        <w:p w14:paraId="4A88509E" w14:textId="77777777" w:rsidR="007743B7" w:rsidRPr="003B3302" w:rsidRDefault="007743B7" w:rsidP="007743B7">
          <w:pPr>
            <w:rPr>
              <w:rFonts w:asciiTheme="minorHAnsi" w:hAnsiTheme="minorHAnsi"/>
            </w:rPr>
          </w:pPr>
        </w:p>
        <w:p w14:paraId="74A0ED5F" w14:textId="1CA12CC2" w:rsidR="00DE7AAC" w:rsidRDefault="007743B7">
          <w:pPr>
            <w:pStyle w:val="TOC1"/>
            <w:tabs>
              <w:tab w:val="right" w:leader="dot" w:pos="9653"/>
            </w:tabs>
            <w:rPr>
              <w:rFonts w:asciiTheme="minorHAnsi" w:eastAsiaTheme="minorEastAsia" w:hAnsiTheme="minorHAnsi" w:cstheme="minorBidi"/>
              <w:noProof/>
              <w:lang w:val="en-GB" w:eastAsia="en-GB"/>
            </w:rPr>
          </w:pPr>
          <w:r w:rsidRPr="003B3302">
            <w:rPr>
              <w:rFonts w:asciiTheme="minorHAnsi" w:hAnsiTheme="minorHAnsi"/>
              <w:lang w:val="sr-Cyrl-RS"/>
            </w:rPr>
            <w:fldChar w:fldCharType="begin"/>
          </w:r>
          <w:r w:rsidRPr="003B3302">
            <w:rPr>
              <w:rFonts w:asciiTheme="minorHAnsi" w:hAnsiTheme="minorHAnsi"/>
              <w:lang w:val="sr-Cyrl-RS"/>
            </w:rPr>
            <w:instrText xml:space="preserve"> TOC \o "1-3" \h \z \u </w:instrText>
          </w:r>
          <w:r w:rsidRPr="003B3302">
            <w:rPr>
              <w:rFonts w:asciiTheme="minorHAnsi" w:hAnsiTheme="minorHAnsi"/>
              <w:lang w:val="sr-Cyrl-RS"/>
            </w:rPr>
            <w:fldChar w:fldCharType="separate"/>
          </w:r>
          <w:hyperlink w:anchor="_Toc195047161" w:history="1">
            <w:r w:rsidR="00DE7AAC" w:rsidRPr="00F2288B">
              <w:rPr>
                <w:rStyle w:val="Hyperlink"/>
                <w:b/>
                <w:bCs/>
                <w:noProof/>
              </w:rPr>
              <w:t xml:space="preserve">Список на кратенки </w:t>
            </w:r>
          </w:hyperlink>
          <w:r w:rsidR="00DE7AAC">
            <w:rPr>
              <w:noProof/>
              <w:webHidden/>
            </w:rPr>
            <w:tab/>
          </w:r>
          <w:r w:rsidR="00DE7AAC">
            <w:rPr>
              <w:noProof/>
              <w:webHidden/>
            </w:rPr>
            <w:fldChar w:fldCharType="begin"/>
          </w:r>
          <w:r w:rsidR="00DE7AAC">
            <w:rPr>
              <w:noProof/>
              <w:webHidden/>
            </w:rPr>
            <w:instrText xml:space="preserve"> PAGEREF _Toc195047161 \h </w:instrText>
          </w:r>
          <w:r w:rsidR="00DE7AAC">
            <w:rPr>
              <w:noProof/>
              <w:webHidden/>
            </w:rPr>
          </w:r>
          <w:r w:rsidR="00DE7AAC">
            <w:rPr>
              <w:noProof/>
              <w:webHidden/>
            </w:rPr>
            <w:fldChar w:fldCharType="separate"/>
          </w:r>
          <w:r w:rsidR="00681066">
            <w:rPr>
              <w:noProof/>
              <w:webHidden/>
            </w:rPr>
            <w:t>3</w:t>
          </w:r>
          <w:r w:rsidR="00DE7AAC">
            <w:rPr>
              <w:noProof/>
              <w:webHidden/>
            </w:rPr>
            <w:fldChar w:fldCharType="end"/>
          </w:r>
        </w:p>
        <w:p w14:paraId="5CBF5CD5" w14:textId="28D88AF9" w:rsidR="00DE7AAC" w:rsidRDefault="00DE7AAC">
          <w:pPr>
            <w:pStyle w:val="TOC1"/>
            <w:tabs>
              <w:tab w:val="right" w:leader="dot" w:pos="9653"/>
            </w:tabs>
            <w:rPr>
              <w:rFonts w:asciiTheme="minorHAnsi" w:eastAsiaTheme="minorEastAsia" w:hAnsiTheme="minorHAnsi" w:cstheme="minorBidi"/>
              <w:noProof/>
              <w:lang w:val="en-GB" w:eastAsia="en-GB"/>
            </w:rPr>
          </w:pPr>
          <w:hyperlink w:anchor="_Toc195047162" w:history="1">
            <w:r w:rsidRPr="00F2288B">
              <w:rPr>
                <w:rStyle w:val="Hyperlink"/>
                <w:b/>
                <w:bCs/>
                <w:noProof/>
              </w:rPr>
              <w:t xml:space="preserve">1. Вовед </w:t>
            </w:r>
          </w:hyperlink>
          <w:r>
            <w:rPr>
              <w:noProof/>
              <w:webHidden/>
            </w:rPr>
            <w:tab/>
          </w:r>
          <w:r>
            <w:rPr>
              <w:noProof/>
              <w:webHidden/>
            </w:rPr>
            <w:fldChar w:fldCharType="begin"/>
          </w:r>
          <w:r>
            <w:rPr>
              <w:noProof/>
              <w:webHidden/>
            </w:rPr>
            <w:instrText xml:space="preserve"> PAGEREF _Toc195047162 \h </w:instrText>
          </w:r>
          <w:r>
            <w:rPr>
              <w:noProof/>
              <w:webHidden/>
            </w:rPr>
          </w:r>
          <w:r>
            <w:rPr>
              <w:noProof/>
              <w:webHidden/>
            </w:rPr>
            <w:fldChar w:fldCharType="separate"/>
          </w:r>
          <w:r w:rsidR="00681066">
            <w:rPr>
              <w:noProof/>
              <w:webHidden/>
            </w:rPr>
            <w:t>4</w:t>
          </w:r>
          <w:r>
            <w:rPr>
              <w:noProof/>
              <w:webHidden/>
            </w:rPr>
            <w:fldChar w:fldCharType="end"/>
          </w:r>
        </w:p>
        <w:p w14:paraId="34593304" w14:textId="2BD8099F" w:rsidR="00DE7AAC" w:rsidRDefault="00DE7AAC">
          <w:pPr>
            <w:pStyle w:val="TOC1"/>
            <w:tabs>
              <w:tab w:val="right" w:leader="dot" w:pos="9653"/>
            </w:tabs>
            <w:rPr>
              <w:rFonts w:asciiTheme="minorHAnsi" w:eastAsiaTheme="minorEastAsia" w:hAnsiTheme="minorHAnsi" w:cstheme="minorBidi"/>
              <w:noProof/>
              <w:lang w:val="en-GB" w:eastAsia="en-GB"/>
            </w:rPr>
          </w:pPr>
          <w:hyperlink w:anchor="_Toc195047163" w:history="1">
            <w:r w:rsidRPr="00F2288B">
              <w:rPr>
                <w:rStyle w:val="Hyperlink"/>
                <w:b/>
                <w:bCs/>
                <w:noProof/>
              </w:rPr>
              <w:t xml:space="preserve">2. Зелено финансирање за мали и средни претпријатија и претприемачи </w:t>
            </w:r>
          </w:hyperlink>
          <w:r>
            <w:rPr>
              <w:noProof/>
              <w:webHidden/>
            </w:rPr>
            <w:tab/>
          </w:r>
          <w:r>
            <w:rPr>
              <w:noProof/>
              <w:webHidden/>
            </w:rPr>
            <w:fldChar w:fldCharType="begin"/>
          </w:r>
          <w:r>
            <w:rPr>
              <w:noProof/>
              <w:webHidden/>
            </w:rPr>
            <w:instrText xml:space="preserve"> PAGEREF _Toc195047163 \h </w:instrText>
          </w:r>
          <w:r>
            <w:rPr>
              <w:noProof/>
              <w:webHidden/>
            </w:rPr>
          </w:r>
          <w:r>
            <w:rPr>
              <w:noProof/>
              <w:webHidden/>
            </w:rPr>
            <w:fldChar w:fldCharType="separate"/>
          </w:r>
          <w:r w:rsidR="00681066">
            <w:rPr>
              <w:noProof/>
              <w:webHidden/>
            </w:rPr>
            <w:t>6</w:t>
          </w:r>
          <w:r>
            <w:rPr>
              <w:noProof/>
              <w:webHidden/>
            </w:rPr>
            <w:fldChar w:fldCharType="end"/>
          </w:r>
        </w:p>
        <w:p w14:paraId="5D06FFE9" w14:textId="190FB522" w:rsidR="00DE7AAC" w:rsidRDefault="00DE7AAC">
          <w:pPr>
            <w:pStyle w:val="TOC1"/>
            <w:tabs>
              <w:tab w:val="right" w:leader="dot" w:pos="9653"/>
            </w:tabs>
            <w:rPr>
              <w:rFonts w:asciiTheme="minorHAnsi" w:eastAsiaTheme="minorEastAsia" w:hAnsiTheme="minorHAnsi" w:cstheme="minorBidi"/>
              <w:noProof/>
              <w:lang w:val="en-GB" w:eastAsia="en-GB"/>
            </w:rPr>
          </w:pPr>
          <w:hyperlink w:anchor="_Toc195047164" w:history="1">
            <w:r w:rsidRPr="00F2288B">
              <w:rPr>
                <w:rStyle w:val="Hyperlink"/>
                <w:b/>
                <w:noProof/>
              </w:rPr>
              <w:t xml:space="preserve">2.1 </w:t>
            </w:r>
          </w:hyperlink>
          <w:hyperlink w:anchor="_Toc195047164" w:history="1">
            <w:r w:rsidRPr="00F2288B">
              <w:rPr>
                <w:rStyle w:val="Hyperlink"/>
                <w:b/>
                <w:noProof/>
                <w:lang w:val="sr-Latn-RS"/>
              </w:rPr>
              <w:t xml:space="preserve">Што точно е таканареченото зелено финансирање? </w:t>
            </w:r>
          </w:hyperlink>
          <w:r>
            <w:rPr>
              <w:noProof/>
              <w:webHidden/>
            </w:rPr>
            <w:tab/>
          </w:r>
          <w:r>
            <w:rPr>
              <w:noProof/>
              <w:webHidden/>
            </w:rPr>
            <w:fldChar w:fldCharType="begin"/>
          </w:r>
          <w:r>
            <w:rPr>
              <w:noProof/>
              <w:webHidden/>
            </w:rPr>
            <w:instrText xml:space="preserve"> PAGEREF _Toc195047164 \h </w:instrText>
          </w:r>
          <w:r>
            <w:rPr>
              <w:noProof/>
              <w:webHidden/>
            </w:rPr>
          </w:r>
          <w:r>
            <w:rPr>
              <w:noProof/>
              <w:webHidden/>
            </w:rPr>
            <w:fldChar w:fldCharType="separate"/>
          </w:r>
          <w:r w:rsidR="00681066">
            <w:rPr>
              <w:noProof/>
              <w:webHidden/>
            </w:rPr>
            <w:t>6</w:t>
          </w:r>
          <w:r>
            <w:rPr>
              <w:noProof/>
              <w:webHidden/>
            </w:rPr>
            <w:fldChar w:fldCharType="end"/>
          </w:r>
        </w:p>
        <w:p w14:paraId="70947737" w14:textId="17E2A24E" w:rsidR="00DE7AAC" w:rsidRDefault="00DE7AAC">
          <w:pPr>
            <w:pStyle w:val="TOC1"/>
            <w:tabs>
              <w:tab w:val="right" w:leader="dot" w:pos="9653"/>
            </w:tabs>
            <w:rPr>
              <w:rFonts w:asciiTheme="minorHAnsi" w:eastAsiaTheme="minorEastAsia" w:hAnsiTheme="minorHAnsi" w:cstheme="minorBidi"/>
              <w:noProof/>
              <w:lang w:val="en-GB" w:eastAsia="en-GB"/>
            </w:rPr>
          </w:pPr>
          <w:hyperlink w:anchor="_Toc195047165" w:history="1">
            <w:r w:rsidRPr="00F2288B">
              <w:rPr>
                <w:rStyle w:val="Hyperlink"/>
                <w:b/>
                <w:noProof/>
              </w:rPr>
              <w:t xml:space="preserve">3. </w:t>
            </w:r>
            <w:r w:rsidR="003B7A49">
              <w:rPr>
                <w:rStyle w:val="Hyperlink"/>
                <w:b/>
                <w:noProof/>
              </w:rPr>
              <w:t>Озеленување</w:t>
            </w:r>
            <w:r w:rsidRPr="00F2288B">
              <w:rPr>
                <w:rStyle w:val="Hyperlink"/>
                <w:b/>
                <w:noProof/>
              </w:rPr>
              <w:t xml:space="preserve"> на бизнисот, принципи и критериуми на зелено финансирање </w:t>
            </w:r>
          </w:hyperlink>
          <w:r>
            <w:rPr>
              <w:noProof/>
              <w:webHidden/>
            </w:rPr>
            <w:tab/>
          </w:r>
          <w:r>
            <w:rPr>
              <w:noProof/>
              <w:webHidden/>
            </w:rPr>
            <w:fldChar w:fldCharType="begin"/>
          </w:r>
          <w:r>
            <w:rPr>
              <w:noProof/>
              <w:webHidden/>
            </w:rPr>
            <w:instrText xml:space="preserve"> PAGEREF _Toc195047165 \h </w:instrText>
          </w:r>
          <w:r>
            <w:rPr>
              <w:noProof/>
              <w:webHidden/>
            </w:rPr>
          </w:r>
          <w:r>
            <w:rPr>
              <w:noProof/>
              <w:webHidden/>
            </w:rPr>
            <w:fldChar w:fldCharType="separate"/>
          </w:r>
          <w:r w:rsidR="00681066">
            <w:rPr>
              <w:noProof/>
              <w:webHidden/>
            </w:rPr>
            <w:t>10</w:t>
          </w:r>
          <w:r>
            <w:rPr>
              <w:noProof/>
              <w:webHidden/>
            </w:rPr>
            <w:fldChar w:fldCharType="end"/>
          </w:r>
        </w:p>
        <w:p w14:paraId="0AAE7690" w14:textId="39938E0A" w:rsidR="00DE7AAC" w:rsidRDefault="00DE7AAC">
          <w:pPr>
            <w:pStyle w:val="TOC3"/>
            <w:tabs>
              <w:tab w:val="right" w:leader="dot" w:pos="9653"/>
            </w:tabs>
            <w:rPr>
              <w:rFonts w:asciiTheme="minorHAnsi" w:eastAsiaTheme="minorEastAsia" w:hAnsiTheme="minorHAnsi" w:cstheme="minorBidi"/>
              <w:noProof/>
              <w:lang w:val="en-GB" w:eastAsia="en-GB"/>
            </w:rPr>
          </w:pPr>
          <w:hyperlink w:anchor="_Toc195047166" w:history="1">
            <w:r w:rsidRPr="00F2288B">
              <w:rPr>
                <w:rStyle w:val="Hyperlink"/>
                <w:b/>
                <w:bCs/>
                <w:noProof/>
              </w:rPr>
              <w:t xml:space="preserve">3.1. </w:t>
            </w:r>
          </w:hyperlink>
          <w:hyperlink w:anchor="_Toc195047166" w:history="1">
            <w:r w:rsidRPr="00F2288B">
              <w:rPr>
                <w:rStyle w:val="Hyperlink"/>
                <w:rFonts w:cs="Calibri"/>
                <w:b/>
                <w:bCs/>
                <w:noProof/>
                <w:lang w:eastAsia="en-GB"/>
              </w:rPr>
              <w:t xml:space="preserve">Принципи и критериуми на зелено финансирање </w:t>
            </w:r>
          </w:hyperlink>
          <w:r>
            <w:rPr>
              <w:noProof/>
              <w:webHidden/>
            </w:rPr>
            <w:tab/>
          </w:r>
          <w:r>
            <w:rPr>
              <w:noProof/>
              <w:webHidden/>
            </w:rPr>
            <w:fldChar w:fldCharType="begin"/>
          </w:r>
          <w:r>
            <w:rPr>
              <w:noProof/>
              <w:webHidden/>
            </w:rPr>
            <w:instrText xml:space="preserve"> PAGEREF _Toc195047166 \h </w:instrText>
          </w:r>
          <w:r>
            <w:rPr>
              <w:noProof/>
              <w:webHidden/>
            </w:rPr>
          </w:r>
          <w:r>
            <w:rPr>
              <w:noProof/>
              <w:webHidden/>
            </w:rPr>
            <w:fldChar w:fldCharType="separate"/>
          </w:r>
          <w:r w:rsidR="00681066">
            <w:rPr>
              <w:noProof/>
              <w:webHidden/>
            </w:rPr>
            <w:t>11</w:t>
          </w:r>
          <w:r>
            <w:rPr>
              <w:noProof/>
              <w:webHidden/>
            </w:rPr>
            <w:fldChar w:fldCharType="end"/>
          </w:r>
        </w:p>
        <w:p w14:paraId="62073645" w14:textId="5A53442B" w:rsidR="00DE7AAC" w:rsidRDefault="00DE7AAC">
          <w:pPr>
            <w:pStyle w:val="TOC3"/>
            <w:tabs>
              <w:tab w:val="right" w:leader="dot" w:pos="9653"/>
            </w:tabs>
            <w:rPr>
              <w:rFonts w:asciiTheme="minorHAnsi" w:eastAsiaTheme="minorEastAsia" w:hAnsiTheme="minorHAnsi" w:cstheme="minorBidi"/>
              <w:noProof/>
              <w:lang w:val="en-GB" w:eastAsia="en-GB"/>
            </w:rPr>
          </w:pPr>
          <w:hyperlink w:anchor="_Toc195047167" w:history="1">
            <w:r w:rsidRPr="00F2288B">
              <w:rPr>
                <w:rStyle w:val="Hyperlink"/>
                <w:rFonts w:cs="Calibri"/>
                <w:b/>
                <w:bCs/>
                <w:noProof/>
                <w:lang w:eastAsia="en-GB"/>
              </w:rPr>
              <w:t xml:space="preserve">3.2. Критериуми за ESG (еколошки, социјални и владеење) </w:t>
            </w:r>
          </w:hyperlink>
          <w:r>
            <w:rPr>
              <w:noProof/>
              <w:webHidden/>
            </w:rPr>
            <w:tab/>
          </w:r>
          <w:r>
            <w:rPr>
              <w:noProof/>
              <w:webHidden/>
            </w:rPr>
            <w:fldChar w:fldCharType="begin"/>
          </w:r>
          <w:r>
            <w:rPr>
              <w:noProof/>
              <w:webHidden/>
            </w:rPr>
            <w:instrText xml:space="preserve"> PAGEREF _Toc195047167 \h </w:instrText>
          </w:r>
          <w:r>
            <w:rPr>
              <w:noProof/>
              <w:webHidden/>
            </w:rPr>
          </w:r>
          <w:r>
            <w:rPr>
              <w:noProof/>
              <w:webHidden/>
            </w:rPr>
            <w:fldChar w:fldCharType="separate"/>
          </w:r>
          <w:r w:rsidR="00681066">
            <w:rPr>
              <w:noProof/>
              <w:webHidden/>
            </w:rPr>
            <w:t>11</w:t>
          </w:r>
          <w:r>
            <w:rPr>
              <w:noProof/>
              <w:webHidden/>
            </w:rPr>
            <w:fldChar w:fldCharType="end"/>
          </w:r>
        </w:p>
        <w:p w14:paraId="49B9EB9A" w14:textId="678387D6" w:rsidR="00DE7AAC" w:rsidRDefault="00DE7AAC">
          <w:pPr>
            <w:pStyle w:val="TOC3"/>
            <w:tabs>
              <w:tab w:val="right" w:leader="dot" w:pos="9653"/>
            </w:tabs>
            <w:rPr>
              <w:rFonts w:asciiTheme="minorHAnsi" w:eastAsiaTheme="minorEastAsia" w:hAnsiTheme="minorHAnsi" w:cstheme="minorBidi"/>
              <w:noProof/>
              <w:lang w:val="en-GB" w:eastAsia="en-GB"/>
            </w:rPr>
          </w:pPr>
          <w:hyperlink w:anchor="_Toc195047168" w:history="1">
            <w:r w:rsidRPr="00F2288B">
              <w:rPr>
                <w:rStyle w:val="Hyperlink"/>
                <w:rFonts w:cs="Calibri"/>
                <w:b/>
                <w:bCs/>
                <w:noProof/>
                <w:lang w:eastAsia="en-GB"/>
              </w:rPr>
              <w:t xml:space="preserve">3.3. Таксономија на ЕУ и стандарди за одржливи финансии </w:t>
            </w:r>
          </w:hyperlink>
          <w:r>
            <w:rPr>
              <w:noProof/>
              <w:webHidden/>
            </w:rPr>
            <w:tab/>
          </w:r>
          <w:r>
            <w:rPr>
              <w:noProof/>
              <w:webHidden/>
            </w:rPr>
            <w:fldChar w:fldCharType="begin"/>
          </w:r>
          <w:r>
            <w:rPr>
              <w:noProof/>
              <w:webHidden/>
            </w:rPr>
            <w:instrText xml:space="preserve"> PAGEREF _Toc195047168 \h </w:instrText>
          </w:r>
          <w:r>
            <w:rPr>
              <w:noProof/>
              <w:webHidden/>
            </w:rPr>
          </w:r>
          <w:r>
            <w:rPr>
              <w:noProof/>
              <w:webHidden/>
            </w:rPr>
            <w:fldChar w:fldCharType="separate"/>
          </w:r>
          <w:r w:rsidR="00681066">
            <w:rPr>
              <w:noProof/>
              <w:webHidden/>
            </w:rPr>
            <w:t>13</w:t>
          </w:r>
          <w:r>
            <w:rPr>
              <w:noProof/>
              <w:webHidden/>
            </w:rPr>
            <w:fldChar w:fldCharType="end"/>
          </w:r>
        </w:p>
        <w:p w14:paraId="7C905A6B" w14:textId="4728C99E" w:rsidR="00DE7AAC" w:rsidRDefault="00DE7AAC">
          <w:pPr>
            <w:pStyle w:val="TOC3"/>
            <w:tabs>
              <w:tab w:val="right" w:leader="dot" w:pos="9653"/>
            </w:tabs>
            <w:rPr>
              <w:rFonts w:asciiTheme="minorHAnsi" w:eastAsiaTheme="minorEastAsia" w:hAnsiTheme="minorHAnsi" w:cstheme="minorBidi"/>
              <w:noProof/>
              <w:lang w:val="en-GB" w:eastAsia="en-GB"/>
            </w:rPr>
          </w:pPr>
          <w:hyperlink w:anchor="_Toc195047169" w:history="1">
            <w:r w:rsidRPr="00F2288B">
              <w:rPr>
                <w:rStyle w:val="Hyperlink"/>
                <w:rFonts w:cs="Calibri"/>
                <w:b/>
                <w:bCs/>
                <w:noProof/>
                <w:lang w:eastAsia="en-GB"/>
              </w:rPr>
              <w:t xml:space="preserve">3.4. Примери на финансирани проекти </w:t>
            </w:r>
          </w:hyperlink>
          <w:r>
            <w:rPr>
              <w:noProof/>
              <w:webHidden/>
            </w:rPr>
            <w:tab/>
          </w:r>
          <w:r>
            <w:rPr>
              <w:noProof/>
              <w:webHidden/>
            </w:rPr>
            <w:fldChar w:fldCharType="begin"/>
          </w:r>
          <w:r>
            <w:rPr>
              <w:noProof/>
              <w:webHidden/>
            </w:rPr>
            <w:instrText xml:space="preserve"> PAGEREF _Toc195047169 \h </w:instrText>
          </w:r>
          <w:r>
            <w:rPr>
              <w:noProof/>
              <w:webHidden/>
            </w:rPr>
          </w:r>
          <w:r>
            <w:rPr>
              <w:noProof/>
              <w:webHidden/>
            </w:rPr>
            <w:fldChar w:fldCharType="separate"/>
          </w:r>
          <w:r w:rsidR="00681066">
            <w:rPr>
              <w:noProof/>
              <w:webHidden/>
            </w:rPr>
            <w:t>14</w:t>
          </w:r>
          <w:r>
            <w:rPr>
              <w:noProof/>
              <w:webHidden/>
            </w:rPr>
            <w:fldChar w:fldCharType="end"/>
          </w:r>
        </w:p>
        <w:p w14:paraId="48E9B527" w14:textId="0D8B399C" w:rsidR="00DE7AAC" w:rsidRDefault="00DE7AAC">
          <w:pPr>
            <w:pStyle w:val="TOC1"/>
            <w:tabs>
              <w:tab w:val="right" w:leader="dot" w:pos="9653"/>
            </w:tabs>
            <w:rPr>
              <w:rFonts w:asciiTheme="minorHAnsi" w:eastAsiaTheme="minorEastAsia" w:hAnsiTheme="minorHAnsi" w:cstheme="minorBidi"/>
              <w:noProof/>
              <w:lang w:val="en-GB" w:eastAsia="en-GB"/>
            </w:rPr>
          </w:pPr>
          <w:hyperlink w:anchor="_Toc195047170" w:history="1">
            <w:r w:rsidRPr="00F2288B">
              <w:rPr>
                <w:rStyle w:val="Hyperlink"/>
                <w:b/>
                <w:noProof/>
                <w:lang w:val="sr-Latn-RS"/>
              </w:rPr>
              <w:t xml:space="preserve">4. </w:t>
            </w:r>
          </w:hyperlink>
          <w:hyperlink w:anchor="_Toc195047170" w:history="1">
            <w:r w:rsidRPr="00F2288B">
              <w:rPr>
                <w:rStyle w:val="Hyperlink"/>
                <w:b/>
                <w:noProof/>
              </w:rPr>
              <w:t xml:space="preserve">Преглед на достапни зелени финансиски инструменти во </w:t>
            </w:r>
          </w:hyperlink>
          <w:hyperlink w:anchor="_Toc195047170" w:history="1">
            <w:r w:rsidR="00D97AA9">
              <w:rPr>
                <w:rStyle w:val="Hyperlink"/>
                <w:b/>
                <w:noProof/>
                <w:lang w:val="sr-Cyrl-RS"/>
              </w:rPr>
              <w:t xml:space="preserve">Северна Македонија </w:t>
            </w:r>
          </w:hyperlink>
          <w:r>
            <w:rPr>
              <w:noProof/>
              <w:webHidden/>
            </w:rPr>
            <w:tab/>
          </w:r>
          <w:r>
            <w:rPr>
              <w:noProof/>
              <w:webHidden/>
            </w:rPr>
            <w:fldChar w:fldCharType="begin"/>
          </w:r>
          <w:r>
            <w:rPr>
              <w:noProof/>
              <w:webHidden/>
            </w:rPr>
            <w:instrText xml:space="preserve"> PAGEREF _Toc195047170 \h </w:instrText>
          </w:r>
          <w:r>
            <w:rPr>
              <w:noProof/>
              <w:webHidden/>
            </w:rPr>
          </w:r>
          <w:r>
            <w:rPr>
              <w:noProof/>
              <w:webHidden/>
            </w:rPr>
            <w:fldChar w:fldCharType="separate"/>
          </w:r>
          <w:r w:rsidR="00681066">
            <w:rPr>
              <w:noProof/>
              <w:webHidden/>
            </w:rPr>
            <w:t>14</w:t>
          </w:r>
          <w:r>
            <w:rPr>
              <w:noProof/>
              <w:webHidden/>
            </w:rPr>
            <w:fldChar w:fldCharType="end"/>
          </w:r>
        </w:p>
        <w:p w14:paraId="48D783CA" w14:textId="64B4ACD3" w:rsidR="00DE7AAC" w:rsidRDefault="00DE7AAC">
          <w:pPr>
            <w:pStyle w:val="TOC1"/>
            <w:tabs>
              <w:tab w:val="right" w:leader="dot" w:pos="9653"/>
            </w:tabs>
            <w:rPr>
              <w:rFonts w:asciiTheme="minorHAnsi" w:eastAsiaTheme="minorEastAsia" w:hAnsiTheme="minorHAnsi" w:cstheme="minorBidi"/>
              <w:noProof/>
              <w:lang w:val="en-GB" w:eastAsia="en-GB"/>
            </w:rPr>
          </w:pPr>
          <w:hyperlink w:anchor="_Toc195047171" w:history="1">
            <w:r w:rsidRPr="00F2288B">
              <w:rPr>
                <w:rStyle w:val="Hyperlink"/>
                <w:b/>
                <w:bCs/>
                <w:noProof/>
              </w:rPr>
              <w:t xml:space="preserve">5. Литература </w:t>
            </w:r>
          </w:hyperlink>
          <w:r>
            <w:rPr>
              <w:noProof/>
              <w:webHidden/>
            </w:rPr>
            <w:tab/>
          </w:r>
          <w:r>
            <w:rPr>
              <w:noProof/>
              <w:webHidden/>
            </w:rPr>
            <w:fldChar w:fldCharType="begin"/>
          </w:r>
          <w:r>
            <w:rPr>
              <w:noProof/>
              <w:webHidden/>
            </w:rPr>
            <w:instrText xml:space="preserve"> PAGEREF _Toc195047171 \h </w:instrText>
          </w:r>
          <w:r>
            <w:rPr>
              <w:noProof/>
              <w:webHidden/>
            </w:rPr>
          </w:r>
          <w:r>
            <w:rPr>
              <w:noProof/>
              <w:webHidden/>
            </w:rPr>
            <w:fldChar w:fldCharType="separate"/>
          </w:r>
          <w:r w:rsidR="00681066">
            <w:rPr>
              <w:noProof/>
              <w:webHidden/>
            </w:rPr>
            <w:t>19</w:t>
          </w:r>
          <w:r>
            <w:rPr>
              <w:noProof/>
              <w:webHidden/>
            </w:rPr>
            <w:fldChar w:fldCharType="end"/>
          </w:r>
        </w:p>
        <w:p w14:paraId="0EE7C86F" w14:textId="7FC80445" w:rsidR="00DE7AAC" w:rsidRDefault="00DE7AAC">
          <w:pPr>
            <w:pStyle w:val="TOC1"/>
            <w:tabs>
              <w:tab w:val="right" w:leader="dot" w:pos="9653"/>
            </w:tabs>
            <w:rPr>
              <w:rFonts w:asciiTheme="minorHAnsi" w:eastAsiaTheme="minorEastAsia" w:hAnsiTheme="minorHAnsi" w:cstheme="minorBidi"/>
              <w:noProof/>
              <w:lang w:val="en-GB" w:eastAsia="en-GB"/>
            </w:rPr>
          </w:pPr>
          <w:hyperlink w:anchor="_Toc195047172" w:history="1">
            <w:r w:rsidRPr="00F2288B">
              <w:rPr>
                <w:rStyle w:val="Hyperlink"/>
                <w:b/>
                <w:bCs/>
                <w:noProof/>
              </w:rPr>
              <w:t xml:space="preserve">6. Прилози </w:t>
            </w:r>
          </w:hyperlink>
          <w:r>
            <w:rPr>
              <w:noProof/>
              <w:webHidden/>
            </w:rPr>
            <w:tab/>
          </w:r>
          <w:r>
            <w:rPr>
              <w:noProof/>
              <w:webHidden/>
            </w:rPr>
            <w:fldChar w:fldCharType="begin"/>
          </w:r>
          <w:r>
            <w:rPr>
              <w:noProof/>
              <w:webHidden/>
            </w:rPr>
            <w:instrText xml:space="preserve"> PAGEREF _Toc195047172 \h </w:instrText>
          </w:r>
          <w:r>
            <w:rPr>
              <w:noProof/>
              <w:webHidden/>
            </w:rPr>
          </w:r>
          <w:r>
            <w:rPr>
              <w:noProof/>
              <w:webHidden/>
            </w:rPr>
            <w:fldChar w:fldCharType="separate"/>
          </w:r>
          <w:r w:rsidR="00681066">
            <w:rPr>
              <w:noProof/>
              <w:webHidden/>
            </w:rPr>
            <w:t>20</w:t>
          </w:r>
          <w:r>
            <w:rPr>
              <w:noProof/>
              <w:webHidden/>
            </w:rPr>
            <w:fldChar w:fldCharType="end"/>
          </w:r>
        </w:p>
        <w:p w14:paraId="321FA427" w14:textId="2B68F58D" w:rsidR="007743B7" w:rsidRPr="003B3302" w:rsidRDefault="007743B7" w:rsidP="009F3244">
          <w:pPr>
            <w:pStyle w:val="TOC1"/>
            <w:tabs>
              <w:tab w:val="right" w:leader="dot" w:pos="9653"/>
            </w:tabs>
            <w:rPr>
              <w:rFonts w:asciiTheme="minorHAnsi" w:hAnsiTheme="minorHAnsi"/>
              <w:lang w:val="sr-Cyrl-RS"/>
            </w:rPr>
          </w:pPr>
          <w:r w:rsidRPr="003B3302">
            <w:rPr>
              <w:rFonts w:asciiTheme="minorHAnsi" w:hAnsiTheme="minorHAnsi"/>
              <w:b/>
              <w:bCs/>
              <w:lang w:val="sr-Cyrl-RS"/>
            </w:rPr>
            <w:fldChar w:fldCharType="end"/>
          </w:r>
        </w:p>
      </w:sdtContent>
    </w:sdt>
    <w:p w14:paraId="506826E1" w14:textId="77777777" w:rsidR="00550B09" w:rsidRPr="003B3302" w:rsidRDefault="007743B7" w:rsidP="00550B09">
      <w:pPr>
        <w:rPr>
          <w:rFonts w:asciiTheme="minorHAnsi" w:hAnsiTheme="minorHAnsi"/>
        </w:rPr>
      </w:pPr>
      <w:r w:rsidRPr="003B3302">
        <w:rPr>
          <w:rFonts w:asciiTheme="minorHAnsi" w:hAnsiTheme="minorHAnsi"/>
        </w:rPr>
        <w:t xml:space="preserve"> </w:t>
      </w:r>
    </w:p>
    <w:p w14:paraId="7429F0A6" w14:textId="77777777" w:rsidR="00FC5BEF" w:rsidRPr="003B3302" w:rsidRDefault="00FC5BEF" w:rsidP="00550B09">
      <w:pPr>
        <w:rPr>
          <w:rFonts w:asciiTheme="minorHAnsi" w:hAnsiTheme="minorHAnsi"/>
        </w:rPr>
      </w:pPr>
    </w:p>
    <w:p w14:paraId="65CFBBD9" w14:textId="77777777" w:rsidR="00755A81" w:rsidRPr="003B3302" w:rsidRDefault="00755A81" w:rsidP="00550B09">
      <w:pPr>
        <w:rPr>
          <w:rFonts w:asciiTheme="minorHAnsi" w:hAnsiTheme="minorHAnsi"/>
        </w:rPr>
      </w:pPr>
    </w:p>
    <w:p w14:paraId="50EC9B55" w14:textId="77777777" w:rsidR="00755A81" w:rsidRPr="003B3302" w:rsidRDefault="00755A81" w:rsidP="00550B09">
      <w:pPr>
        <w:rPr>
          <w:rFonts w:asciiTheme="minorHAnsi" w:hAnsiTheme="minorHAnsi"/>
        </w:rPr>
      </w:pPr>
    </w:p>
    <w:p w14:paraId="1FB57572" w14:textId="77777777" w:rsidR="00755A81" w:rsidRPr="003B3302" w:rsidRDefault="00755A81" w:rsidP="00550B09">
      <w:pPr>
        <w:rPr>
          <w:rFonts w:asciiTheme="minorHAnsi" w:hAnsiTheme="minorHAnsi"/>
        </w:rPr>
      </w:pPr>
    </w:p>
    <w:p w14:paraId="0A8A2A7C" w14:textId="77777777" w:rsidR="00755A81" w:rsidRPr="003B3302" w:rsidRDefault="00755A81" w:rsidP="00550B09">
      <w:pPr>
        <w:rPr>
          <w:rFonts w:asciiTheme="minorHAnsi" w:hAnsiTheme="minorHAnsi"/>
        </w:rPr>
      </w:pPr>
    </w:p>
    <w:p w14:paraId="36E79126" w14:textId="77777777" w:rsidR="00755A81" w:rsidRPr="003B3302" w:rsidRDefault="00755A81" w:rsidP="00550B09">
      <w:pPr>
        <w:rPr>
          <w:rFonts w:asciiTheme="minorHAnsi" w:hAnsiTheme="minorHAnsi"/>
        </w:rPr>
      </w:pPr>
    </w:p>
    <w:p w14:paraId="6E57122B" w14:textId="77777777" w:rsidR="00755A81" w:rsidRPr="003B3302" w:rsidRDefault="00755A81" w:rsidP="00550B09">
      <w:pPr>
        <w:rPr>
          <w:rFonts w:asciiTheme="minorHAnsi" w:hAnsiTheme="minorHAnsi"/>
        </w:rPr>
      </w:pPr>
    </w:p>
    <w:p w14:paraId="2ABB35A5" w14:textId="77777777" w:rsidR="00755A81" w:rsidRPr="003B3302" w:rsidRDefault="00755A81" w:rsidP="00550B09">
      <w:pPr>
        <w:rPr>
          <w:rFonts w:asciiTheme="minorHAnsi" w:hAnsiTheme="minorHAnsi"/>
        </w:rPr>
      </w:pPr>
    </w:p>
    <w:p w14:paraId="57B885BC" w14:textId="77777777" w:rsidR="00755A81" w:rsidRPr="003B3302" w:rsidRDefault="00755A81" w:rsidP="00550B09">
      <w:pPr>
        <w:rPr>
          <w:rFonts w:asciiTheme="minorHAnsi" w:hAnsiTheme="minorHAnsi"/>
        </w:rPr>
      </w:pPr>
    </w:p>
    <w:p w14:paraId="676CCEAD" w14:textId="77777777" w:rsidR="00755A81" w:rsidRPr="003B3302" w:rsidRDefault="00755A81" w:rsidP="00550B09">
      <w:pPr>
        <w:rPr>
          <w:rFonts w:asciiTheme="minorHAnsi" w:hAnsiTheme="minorHAnsi"/>
        </w:rPr>
      </w:pPr>
    </w:p>
    <w:p w14:paraId="74F3D44C" w14:textId="77777777" w:rsidR="00755A81" w:rsidRPr="003B3302" w:rsidRDefault="00755A81" w:rsidP="00550B09">
      <w:pPr>
        <w:rPr>
          <w:rFonts w:asciiTheme="minorHAnsi" w:hAnsiTheme="minorHAnsi"/>
        </w:rPr>
      </w:pPr>
    </w:p>
    <w:p w14:paraId="106559B7" w14:textId="77777777" w:rsidR="00755A81" w:rsidRPr="003B3302" w:rsidRDefault="00755A81" w:rsidP="00550B09">
      <w:pPr>
        <w:rPr>
          <w:rFonts w:asciiTheme="minorHAnsi" w:hAnsiTheme="minorHAnsi"/>
        </w:rPr>
      </w:pPr>
    </w:p>
    <w:p w14:paraId="07D47F1A" w14:textId="77777777" w:rsidR="00755A81" w:rsidRPr="003B3302" w:rsidRDefault="00755A81" w:rsidP="00550B09">
      <w:pPr>
        <w:rPr>
          <w:rFonts w:asciiTheme="minorHAnsi" w:hAnsiTheme="minorHAnsi"/>
        </w:rPr>
      </w:pPr>
    </w:p>
    <w:p w14:paraId="2DB5D1AD" w14:textId="77777777" w:rsidR="00755A81" w:rsidRPr="003B3302" w:rsidRDefault="00755A81" w:rsidP="00550B09">
      <w:pPr>
        <w:rPr>
          <w:rFonts w:asciiTheme="minorHAnsi" w:hAnsiTheme="minorHAnsi"/>
        </w:rPr>
      </w:pPr>
    </w:p>
    <w:p w14:paraId="47A978DE" w14:textId="77777777" w:rsidR="00755A81" w:rsidRPr="003B3302" w:rsidRDefault="00755A81" w:rsidP="00550B09">
      <w:pPr>
        <w:rPr>
          <w:rFonts w:asciiTheme="minorHAnsi" w:hAnsiTheme="minorHAnsi"/>
        </w:rPr>
      </w:pPr>
    </w:p>
    <w:p w14:paraId="3E269DA2" w14:textId="77777777" w:rsidR="00755A81" w:rsidRPr="003B3302" w:rsidRDefault="00755A81" w:rsidP="00550B09">
      <w:pPr>
        <w:rPr>
          <w:rFonts w:asciiTheme="minorHAnsi" w:hAnsiTheme="minorHAnsi"/>
        </w:rPr>
      </w:pPr>
    </w:p>
    <w:p w14:paraId="6A900921" w14:textId="77777777" w:rsidR="00755A81" w:rsidRPr="003B3302" w:rsidRDefault="00755A81" w:rsidP="00550B09">
      <w:pPr>
        <w:rPr>
          <w:rFonts w:asciiTheme="minorHAnsi" w:hAnsiTheme="minorHAnsi"/>
        </w:rPr>
      </w:pPr>
    </w:p>
    <w:p w14:paraId="4DFFE0FF" w14:textId="77777777" w:rsidR="00755A81" w:rsidRPr="003B3302" w:rsidRDefault="00755A81" w:rsidP="00550B09">
      <w:pPr>
        <w:rPr>
          <w:rFonts w:asciiTheme="minorHAnsi" w:hAnsiTheme="minorHAnsi"/>
        </w:rPr>
      </w:pPr>
    </w:p>
    <w:p w14:paraId="58D3F8A9" w14:textId="77777777" w:rsidR="00755A81" w:rsidRPr="003B3302" w:rsidRDefault="00755A81" w:rsidP="00550B09">
      <w:pPr>
        <w:rPr>
          <w:rFonts w:asciiTheme="minorHAnsi" w:hAnsiTheme="minorHAnsi"/>
        </w:rPr>
      </w:pPr>
    </w:p>
    <w:p w14:paraId="6A91B927" w14:textId="77777777" w:rsidR="00755A81" w:rsidRPr="003B3302" w:rsidRDefault="00755A81" w:rsidP="00550B09">
      <w:pPr>
        <w:rPr>
          <w:rFonts w:asciiTheme="minorHAnsi" w:hAnsiTheme="minorHAnsi"/>
        </w:rPr>
      </w:pPr>
    </w:p>
    <w:p w14:paraId="022BB36B" w14:textId="77777777" w:rsidR="00755A81" w:rsidRPr="003B3302" w:rsidRDefault="00755A81" w:rsidP="00550B09">
      <w:pPr>
        <w:rPr>
          <w:rFonts w:asciiTheme="minorHAnsi" w:hAnsiTheme="minorHAnsi"/>
        </w:rPr>
      </w:pPr>
    </w:p>
    <w:p w14:paraId="3B56911D" w14:textId="77777777" w:rsidR="00755A81" w:rsidRPr="003B3302" w:rsidRDefault="00755A81" w:rsidP="00550B09">
      <w:pPr>
        <w:rPr>
          <w:rFonts w:asciiTheme="minorHAnsi" w:hAnsiTheme="minorHAnsi"/>
        </w:rPr>
      </w:pPr>
    </w:p>
    <w:p w14:paraId="2AA63040" w14:textId="77777777" w:rsidR="00755A81" w:rsidRPr="003B3302" w:rsidRDefault="00755A81" w:rsidP="00550B09">
      <w:pPr>
        <w:rPr>
          <w:rFonts w:asciiTheme="minorHAnsi" w:hAnsiTheme="minorHAnsi"/>
        </w:rPr>
      </w:pPr>
    </w:p>
    <w:p w14:paraId="4211D8C0" w14:textId="77777777" w:rsidR="00755A81" w:rsidRPr="003B3302" w:rsidRDefault="00755A81" w:rsidP="00550B09">
      <w:pPr>
        <w:rPr>
          <w:rFonts w:asciiTheme="minorHAnsi" w:hAnsiTheme="minorHAnsi"/>
        </w:rPr>
      </w:pPr>
    </w:p>
    <w:p w14:paraId="5AEF522F" w14:textId="77777777" w:rsidR="00755A81" w:rsidRPr="003B3302" w:rsidRDefault="00755A81" w:rsidP="00550B09">
      <w:pPr>
        <w:rPr>
          <w:rFonts w:asciiTheme="minorHAnsi" w:hAnsiTheme="minorHAnsi"/>
        </w:rPr>
      </w:pPr>
    </w:p>
    <w:p w14:paraId="27DE6240" w14:textId="77777777" w:rsidR="00755A81" w:rsidRPr="003B3302" w:rsidRDefault="00755A81" w:rsidP="00550B09">
      <w:pPr>
        <w:rPr>
          <w:rFonts w:asciiTheme="minorHAnsi" w:hAnsiTheme="minorHAnsi"/>
        </w:rPr>
      </w:pPr>
    </w:p>
    <w:p w14:paraId="6096472A" w14:textId="77777777" w:rsidR="00755A81" w:rsidRPr="003B3302" w:rsidRDefault="00755A81" w:rsidP="00550B09">
      <w:pPr>
        <w:rPr>
          <w:rFonts w:asciiTheme="minorHAnsi" w:hAnsiTheme="minorHAnsi"/>
        </w:rPr>
      </w:pPr>
    </w:p>
    <w:p w14:paraId="0C5E6490" w14:textId="77777777" w:rsidR="00755A81" w:rsidRPr="003B3302" w:rsidRDefault="00755A81" w:rsidP="00550B09">
      <w:pPr>
        <w:rPr>
          <w:rFonts w:asciiTheme="minorHAnsi" w:hAnsiTheme="minorHAnsi"/>
        </w:rPr>
      </w:pPr>
    </w:p>
    <w:p w14:paraId="1260CEAC" w14:textId="77777777" w:rsidR="00755A81" w:rsidRPr="003B3302" w:rsidRDefault="00755A81" w:rsidP="00550B09">
      <w:pPr>
        <w:rPr>
          <w:rFonts w:asciiTheme="minorHAnsi" w:hAnsiTheme="minorHAnsi"/>
        </w:rPr>
      </w:pPr>
    </w:p>
    <w:p w14:paraId="46CA8B82" w14:textId="77777777" w:rsidR="00755A81" w:rsidRPr="003B3302" w:rsidRDefault="00755A81" w:rsidP="00550B09">
      <w:pPr>
        <w:rPr>
          <w:rFonts w:asciiTheme="minorHAnsi" w:hAnsiTheme="minorHAnsi"/>
        </w:rPr>
      </w:pPr>
    </w:p>
    <w:p w14:paraId="269CA194" w14:textId="77777777" w:rsidR="00755A81" w:rsidRPr="003B3302" w:rsidRDefault="00755A81" w:rsidP="00550B09">
      <w:pPr>
        <w:rPr>
          <w:rFonts w:asciiTheme="minorHAnsi" w:hAnsiTheme="minorHAnsi"/>
        </w:rPr>
      </w:pPr>
    </w:p>
    <w:p w14:paraId="3AB99742" w14:textId="77777777" w:rsidR="00755A81" w:rsidRPr="003B3302" w:rsidRDefault="00755A81" w:rsidP="00550B09">
      <w:pPr>
        <w:rPr>
          <w:rFonts w:asciiTheme="minorHAnsi" w:hAnsiTheme="minorHAnsi"/>
        </w:rPr>
      </w:pPr>
    </w:p>
    <w:p w14:paraId="1D8C8622" w14:textId="77777777" w:rsidR="00755A81" w:rsidRPr="003B3302" w:rsidRDefault="00755A81" w:rsidP="00550B09">
      <w:pPr>
        <w:rPr>
          <w:rFonts w:asciiTheme="minorHAnsi" w:hAnsiTheme="minorHAnsi"/>
        </w:rPr>
      </w:pPr>
    </w:p>
    <w:p w14:paraId="4DD96699" w14:textId="77777777" w:rsidR="00FC5BEF" w:rsidRPr="003B3302" w:rsidRDefault="00FC5BEF" w:rsidP="00550B09">
      <w:pPr>
        <w:rPr>
          <w:rFonts w:asciiTheme="minorHAnsi" w:hAnsiTheme="minorHAnsi"/>
        </w:rPr>
      </w:pPr>
    </w:p>
    <w:p w14:paraId="344076F8" w14:textId="29A59594" w:rsidR="007743B7" w:rsidRPr="003B3302" w:rsidRDefault="007743B7" w:rsidP="00D10E73">
      <w:pPr>
        <w:pStyle w:val="Heading1"/>
        <w:spacing w:before="0" w:after="0"/>
        <w:rPr>
          <w:rFonts w:asciiTheme="minorHAnsi" w:hAnsiTheme="minorHAnsi" w:cstheme="minorHAnsi"/>
          <w:b/>
          <w:bCs/>
          <w:sz w:val="22"/>
          <w:szCs w:val="22"/>
        </w:rPr>
      </w:pPr>
      <w:bookmarkStart w:id="1" w:name="_Toc195047161"/>
      <w:r w:rsidRPr="003B3302">
        <w:rPr>
          <w:rFonts w:asciiTheme="minorHAnsi" w:hAnsiTheme="minorHAnsi" w:cstheme="minorHAnsi"/>
          <w:b/>
          <w:bCs/>
          <w:sz w:val="22"/>
          <w:szCs w:val="22"/>
        </w:rPr>
        <w:t>Список на кратенки</w:t>
      </w:r>
      <w:bookmarkEnd w:id="1"/>
    </w:p>
    <w:p w14:paraId="2820CA8F" w14:textId="77777777" w:rsidR="007743B7" w:rsidRDefault="007743B7" w:rsidP="007743B7">
      <w:pPr>
        <w:rPr>
          <w:rFonts w:asciiTheme="minorHAnsi" w:hAnsiTheme="minorHAnsi"/>
          <w:lang w:val="en-US"/>
        </w:rPr>
      </w:pPr>
      <w:r w:rsidRPr="003B3302">
        <w:rPr>
          <w:rFonts w:asciiTheme="minorHAnsi" w:hAnsiTheme="minorHAnsi"/>
        </w:rPr>
        <w:t xml:space="preserve"> </w:t>
      </w:r>
    </w:p>
    <w:p w14:paraId="57197AAC" w14:textId="77777777" w:rsidR="000663F5" w:rsidRPr="000663F5" w:rsidRDefault="000663F5" w:rsidP="007743B7">
      <w:pPr>
        <w:rPr>
          <w:rFonts w:asciiTheme="minorHAnsi" w:hAnsiTheme="minorHAnsi"/>
          <w:lang w:val="en-US"/>
        </w:rPr>
      </w:pPr>
    </w:p>
    <w:tbl>
      <w:tblPr>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2"/>
        <w:gridCol w:w="1114"/>
        <w:gridCol w:w="250"/>
        <w:gridCol w:w="7735"/>
        <w:gridCol w:w="283"/>
      </w:tblGrid>
      <w:tr w:rsidR="00A214EB" w:rsidRPr="00F432FC" w14:paraId="56A3F41D" w14:textId="77777777" w:rsidTr="00CA36F2">
        <w:tc>
          <w:tcPr>
            <w:tcW w:w="252" w:type="dxa"/>
            <w:vAlign w:val="center"/>
          </w:tcPr>
          <w:p w14:paraId="03E4BFFE" w14:textId="77777777" w:rsidR="00A214EB" w:rsidRPr="00F432FC" w:rsidRDefault="00A214EB" w:rsidP="00CA36F2">
            <w:pPr>
              <w:spacing w:beforeLines="20" w:before="48" w:afterLines="20" w:after="48"/>
              <w:jc w:val="center"/>
              <w:rPr>
                <w:rFonts w:asciiTheme="minorHAnsi" w:hAnsiTheme="minorHAnsi"/>
                <w:color w:val="FF0000"/>
              </w:rPr>
            </w:pPr>
          </w:p>
        </w:tc>
        <w:tc>
          <w:tcPr>
            <w:tcW w:w="1114" w:type="dxa"/>
            <w:shd w:val="clear" w:color="auto" w:fill="auto"/>
            <w:vAlign w:val="center"/>
          </w:tcPr>
          <w:p w14:paraId="79A613A4" w14:textId="77777777" w:rsidR="00A214EB" w:rsidRPr="00F432FC" w:rsidRDefault="00A214EB" w:rsidP="00CA36F2">
            <w:pPr>
              <w:spacing w:beforeLines="20" w:before="48" w:afterLines="20" w:after="48"/>
              <w:jc w:val="both"/>
              <w:rPr>
                <w:rFonts w:asciiTheme="minorHAnsi" w:hAnsiTheme="minorHAnsi"/>
                <w:color w:val="FF0000"/>
              </w:rPr>
            </w:pPr>
          </w:p>
        </w:tc>
        <w:tc>
          <w:tcPr>
            <w:tcW w:w="250" w:type="dxa"/>
            <w:vAlign w:val="center"/>
          </w:tcPr>
          <w:p w14:paraId="734C6666" w14:textId="77777777" w:rsidR="00A214EB" w:rsidRPr="00F432FC" w:rsidRDefault="00A214EB" w:rsidP="00CA36F2">
            <w:pPr>
              <w:spacing w:beforeLines="20" w:before="48" w:afterLines="20" w:after="48"/>
              <w:jc w:val="both"/>
              <w:rPr>
                <w:rFonts w:asciiTheme="minorHAnsi" w:hAnsiTheme="minorHAnsi"/>
                <w:color w:val="FF0000"/>
              </w:rPr>
            </w:pPr>
          </w:p>
        </w:tc>
        <w:tc>
          <w:tcPr>
            <w:tcW w:w="7735" w:type="dxa"/>
            <w:tcBorders>
              <w:right w:val="nil"/>
            </w:tcBorders>
            <w:vAlign w:val="center"/>
          </w:tcPr>
          <w:p w14:paraId="55013F94" w14:textId="77777777" w:rsidR="00A214EB" w:rsidRPr="00F432FC" w:rsidRDefault="00A214EB" w:rsidP="00CA36F2">
            <w:pPr>
              <w:spacing w:beforeLines="20" w:before="48" w:afterLines="20" w:after="48"/>
              <w:jc w:val="both"/>
              <w:rPr>
                <w:rFonts w:asciiTheme="minorHAnsi" w:hAnsiTheme="minorHAnsi"/>
                <w:color w:val="FF0000"/>
              </w:rPr>
            </w:pPr>
          </w:p>
        </w:tc>
        <w:tc>
          <w:tcPr>
            <w:tcW w:w="283" w:type="dxa"/>
            <w:tcBorders>
              <w:top w:val="single" w:sz="4" w:space="0" w:color="auto"/>
              <w:left w:val="nil"/>
              <w:bottom w:val="nil"/>
            </w:tcBorders>
            <w:shd w:val="clear" w:color="auto" w:fill="auto"/>
            <w:vAlign w:val="center"/>
          </w:tcPr>
          <w:p w14:paraId="2BF0F998" w14:textId="77777777" w:rsidR="00A214EB" w:rsidRPr="00F432FC" w:rsidRDefault="00A214EB" w:rsidP="00CA36F2">
            <w:pPr>
              <w:spacing w:beforeLines="20" w:before="48" w:afterLines="20" w:after="48"/>
              <w:jc w:val="both"/>
              <w:rPr>
                <w:rFonts w:asciiTheme="minorHAnsi" w:hAnsiTheme="minorHAnsi"/>
                <w:color w:val="FF0000"/>
              </w:rPr>
            </w:pPr>
          </w:p>
        </w:tc>
      </w:tr>
      <w:tr w:rsidR="000663F5" w:rsidRPr="00F432FC" w14:paraId="11D859BF" w14:textId="77777777" w:rsidTr="005D42E7">
        <w:tc>
          <w:tcPr>
            <w:tcW w:w="252" w:type="dxa"/>
            <w:vAlign w:val="center"/>
          </w:tcPr>
          <w:p w14:paraId="6AD8E9B4"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1E8A912F" w14:textId="5E24F456"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ЕУ</w:t>
            </w:r>
          </w:p>
        </w:tc>
        <w:tc>
          <w:tcPr>
            <w:tcW w:w="250" w:type="dxa"/>
            <w:vAlign w:val="bottom"/>
          </w:tcPr>
          <w:p w14:paraId="44F0760A"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57ED3FCA" w14:textId="4ABE78AF"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Европската Унија</w:t>
            </w:r>
          </w:p>
        </w:tc>
        <w:tc>
          <w:tcPr>
            <w:tcW w:w="283" w:type="dxa"/>
            <w:tcBorders>
              <w:top w:val="nil"/>
              <w:left w:val="nil"/>
              <w:bottom w:val="nil"/>
            </w:tcBorders>
            <w:shd w:val="clear" w:color="auto" w:fill="auto"/>
            <w:vAlign w:val="bottom"/>
          </w:tcPr>
          <w:p w14:paraId="43B50046"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61616314" w14:textId="77777777" w:rsidTr="005D42E7">
        <w:tc>
          <w:tcPr>
            <w:tcW w:w="252" w:type="dxa"/>
            <w:vAlign w:val="center"/>
          </w:tcPr>
          <w:p w14:paraId="33F79F79"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3DADA971" w14:textId="0828AB91"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МСП</w:t>
            </w:r>
          </w:p>
        </w:tc>
        <w:tc>
          <w:tcPr>
            <w:tcW w:w="250" w:type="dxa"/>
            <w:vAlign w:val="bottom"/>
          </w:tcPr>
          <w:p w14:paraId="4A4A2EA4"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1AEC1436" w14:textId="1B4A92EC"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Мали и средни претпријатија и претприемачи</w:t>
            </w:r>
          </w:p>
        </w:tc>
        <w:tc>
          <w:tcPr>
            <w:tcW w:w="283" w:type="dxa"/>
            <w:tcBorders>
              <w:top w:val="nil"/>
              <w:left w:val="nil"/>
              <w:bottom w:val="nil"/>
            </w:tcBorders>
            <w:shd w:val="clear" w:color="auto" w:fill="auto"/>
            <w:vAlign w:val="bottom"/>
          </w:tcPr>
          <w:p w14:paraId="6DD00BCB"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255D3FFA" w14:textId="77777777" w:rsidTr="005D42E7">
        <w:tc>
          <w:tcPr>
            <w:tcW w:w="252" w:type="dxa"/>
            <w:vAlign w:val="center"/>
          </w:tcPr>
          <w:p w14:paraId="7022EBAD"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06B83DE4" w14:textId="16F338E2"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ОИЕ</w:t>
            </w:r>
          </w:p>
        </w:tc>
        <w:tc>
          <w:tcPr>
            <w:tcW w:w="250" w:type="dxa"/>
            <w:vAlign w:val="bottom"/>
          </w:tcPr>
          <w:p w14:paraId="652B18FC"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416A6E7D" w14:textId="0BDA0514"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Обновливи извори на енергија</w:t>
            </w:r>
          </w:p>
        </w:tc>
        <w:tc>
          <w:tcPr>
            <w:tcW w:w="283" w:type="dxa"/>
            <w:tcBorders>
              <w:top w:val="nil"/>
              <w:left w:val="nil"/>
              <w:bottom w:val="nil"/>
            </w:tcBorders>
            <w:shd w:val="clear" w:color="auto" w:fill="auto"/>
            <w:vAlign w:val="bottom"/>
          </w:tcPr>
          <w:p w14:paraId="2B1D7D50"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57F1B5F5" w14:textId="77777777" w:rsidTr="005D42E7">
        <w:tc>
          <w:tcPr>
            <w:tcW w:w="252" w:type="dxa"/>
            <w:vAlign w:val="center"/>
          </w:tcPr>
          <w:p w14:paraId="056C3277"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22D8AE23" w14:textId="460194FA"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OPP</w:t>
            </w:r>
          </w:p>
        </w:tc>
        <w:tc>
          <w:tcPr>
            <w:tcW w:w="250" w:type="dxa"/>
            <w:vAlign w:val="bottom"/>
          </w:tcPr>
          <w:p w14:paraId="6D9D4350"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452C42A8" w14:textId="45BD03F3"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Организации за поддршка на бизнисот</w:t>
            </w:r>
          </w:p>
        </w:tc>
        <w:tc>
          <w:tcPr>
            <w:tcW w:w="283" w:type="dxa"/>
            <w:tcBorders>
              <w:top w:val="nil"/>
              <w:left w:val="nil"/>
              <w:bottom w:val="nil"/>
            </w:tcBorders>
            <w:shd w:val="clear" w:color="auto" w:fill="auto"/>
            <w:vAlign w:val="bottom"/>
          </w:tcPr>
          <w:p w14:paraId="4E0604C4"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006230C8" w14:textId="77777777" w:rsidTr="005D42E7">
        <w:tc>
          <w:tcPr>
            <w:tcW w:w="252" w:type="dxa"/>
            <w:vAlign w:val="center"/>
          </w:tcPr>
          <w:p w14:paraId="6EDE6147"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6446C27F" w14:textId="7F4D65E7"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ПКС</w:t>
            </w:r>
          </w:p>
        </w:tc>
        <w:tc>
          <w:tcPr>
            <w:tcW w:w="250" w:type="dxa"/>
            <w:vAlign w:val="bottom"/>
          </w:tcPr>
          <w:p w14:paraId="09A07CF3"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6CE61E96" w14:textId="08C15503"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 xml:space="preserve">Стопанска комора на </w:t>
            </w:r>
            <w:r w:rsidR="00CA5999">
              <w:rPr>
                <w:rFonts w:cs="Calibri"/>
                <w:color w:val="FF0000"/>
              </w:rPr>
              <w:t>Северна Македонија</w:t>
            </w:r>
          </w:p>
        </w:tc>
        <w:tc>
          <w:tcPr>
            <w:tcW w:w="283" w:type="dxa"/>
            <w:tcBorders>
              <w:top w:val="nil"/>
              <w:left w:val="nil"/>
              <w:bottom w:val="nil"/>
            </w:tcBorders>
            <w:shd w:val="clear" w:color="auto" w:fill="auto"/>
            <w:vAlign w:val="bottom"/>
          </w:tcPr>
          <w:p w14:paraId="5330560E"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4760E5E2" w14:textId="77777777" w:rsidTr="005D42E7">
        <w:tc>
          <w:tcPr>
            <w:tcW w:w="252" w:type="dxa"/>
            <w:vAlign w:val="center"/>
          </w:tcPr>
          <w:p w14:paraId="51F60607"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66521C2D" w14:textId="7ED3CDD5"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РЗС</w:t>
            </w:r>
          </w:p>
        </w:tc>
        <w:tc>
          <w:tcPr>
            <w:tcW w:w="250" w:type="dxa"/>
            <w:vAlign w:val="bottom"/>
          </w:tcPr>
          <w:p w14:paraId="770FC635"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3333D39E" w14:textId="1E8C5021"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Републички завод за статистика</w:t>
            </w:r>
          </w:p>
        </w:tc>
        <w:tc>
          <w:tcPr>
            <w:tcW w:w="283" w:type="dxa"/>
            <w:tcBorders>
              <w:top w:val="nil"/>
              <w:left w:val="nil"/>
              <w:bottom w:val="nil"/>
            </w:tcBorders>
            <w:shd w:val="clear" w:color="auto" w:fill="auto"/>
            <w:vAlign w:val="bottom"/>
          </w:tcPr>
          <w:p w14:paraId="664A31AF"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09347E5B" w14:textId="77777777" w:rsidTr="005D42E7">
        <w:tc>
          <w:tcPr>
            <w:tcW w:w="252" w:type="dxa"/>
            <w:vAlign w:val="center"/>
          </w:tcPr>
          <w:p w14:paraId="6B5FEABD"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59BD341E" w14:textId="07EABD43"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CO2</w:t>
            </w:r>
          </w:p>
        </w:tc>
        <w:tc>
          <w:tcPr>
            <w:tcW w:w="250" w:type="dxa"/>
            <w:vAlign w:val="bottom"/>
          </w:tcPr>
          <w:p w14:paraId="4A854C9F"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76D954E9" w14:textId="536B5A74"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Јаглерод диоксид</w:t>
            </w:r>
          </w:p>
        </w:tc>
        <w:tc>
          <w:tcPr>
            <w:tcW w:w="283" w:type="dxa"/>
            <w:tcBorders>
              <w:top w:val="nil"/>
              <w:left w:val="nil"/>
              <w:bottom w:val="nil"/>
            </w:tcBorders>
            <w:shd w:val="clear" w:color="auto" w:fill="auto"/>
            <w:vAlign w:val="bottom"/>
          </w:tcPr>
          <w:p w14:paraId="0A9B7718" w14:textId="77777777" w:rsidR="000663F5" w:rsidRPr="00F432FC" w:rsidRDefault="000663F5" w:rsidP="000663F5">
            <w:pPr>
              <w:spacing w:beforeLines="20" w:before="48" w:afterLines="20" w:after="48"/>
              <w:jc w:val="both"/>
              <w:rPr>
                <w:rFonts w:asciiTheme="minorHAnsi" w:hAnsiTheme="minorHAnsi"/>
                <w:color w:val="FF0000"/>
              </w:rPr>
            </w:pPr>
          </w:p>
        </w:tc>
      </w:tr>
      <w:tr w:rsidR="005D42E7" w:rsidRPr="00F432FC" w14:paraId="53D2E69E" w14:textId="77777777" w:rsidTr="005D42E7">
        <w:tc>
          <w:tcPr>
            <w:tcW w:w="252" w:type="dxa"/>
            <w:vAlign w:val="center"/>
          </w:tcPr>
          <w:p w14:paraId="3C6A05C8" w14:textId="77777777" w:rsidR="005D42E7" w:rsidRPr="00F432FC" w:rsidRDefault="005D42E7"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4A6CA6CB" w14:textId="1A3AFB13" w:rsidR="005D42E7" w:rsidRPr="00F432FC" w:rsidRDefault="005D42E7" w:rsidP="005D42E7">
            <w:pPr>
              <w:spacing w:beforeLines="20" w:before="48" w:afterLines="20" w:after="48"/>
              <w:jc w:val="both"/>
              <w:rPr>
                <w:rFonts w:cs="Calibri"/>
                <w:color w:val="FF0000"/>
              </w:rPr>
            </w:pPr>
            <w:r w:rsidRPr="00F432FC">
              <w:rPr>
                <w:rFonts w:cs="Calibri"/>
                <w:color w:val="FF0000"/>
              </w:rPr>
              <w:t>ECHA</w:t>
            </w:r>
          </w:p>
        </w:tc>
        <w:tc>
          <w:tcPr>
            <w:tcW w:w="250" w:type="dxa"/>
            <w:vAlign w:val="bottom"/>
          </w:tcPr>
          <w:p w14:paraId="45478B1E" w14:textId="77777777" w:rsidR="005D42E7" w:rsidRPr="00F432FC" w:rsidRDefault="005D42E7"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64B0E1C7" w14:textId="3C00FB78" w:rsidR="005D42E7" w:rsidRPr="00F432FC" w:rsidRDefault="005D42E7" w:rsidP="000663F5">
            <w:pPr>
              <w:spacing w:beforeLines="20" w:before="48" w:afterLines="20" w:after="48"/>
              <w:jc w:val="both"/>
              <w:rPr>
                <w:rFonts w:cs="Calibri"/>
                <w:color w:val="FF0000"/>
              </w:rPr>
            </w:pPr>
            <w:r w:rsidRPr="00F432FC">
              <w:rPr>
                <w:rFonts w:cs="Calibri"/>
                <w:color w:val="FF0000"/>
              </w:rPr>
              <w:t>Европската агенција за хемикалии</w:t>
            </w:r>
          </w:p>
        </w:tc>
        <w:tc>
          <w:tcPr>
            <w:tcW w:w="283" w:type="dxa"/>
            <w:tcBorders>
              <w:top w:val="nil"/>
              <w:left w:val="nil"/>
              <w:bottom w:val="nil"/>
            </w:tcBorders>
            <w:shd w:val="clear" w:color="auto" w:fill="auto"/>
            <w:vAlign w:val="bottom"/>
          </w:tcPr>
          <w:p w14:paraId="70D26E00" w14:textId="77777777" w:rsidR="005D42E7" w:rsidRPr="00F432FC" w:rsidRDefault="005D42E7" w:rsidP="000663F5">
            <w:pPr>
              <w:spacing w:beforeLines="20" w:before="48" w:afterLines="20" w:after="48"/>
              <w:jc w:val="both"/>
              <w:rPr>
                <w:rFonts w:asciiTheme="minorHAnsi" w:hAnsiTheme="minorHAnsi"/>
                <w:color w:val="FF0000"/>
              </w:rPr>
            </w:pPr>
          </w:p>
        </w:tc>
      </w:tr>
      <w:tr w:rsidR="000663F5" w:rsidRPr="00F432FC" w14:paraId="193649E8" w14:textId="77777777" w:rsidTr="005D42E7">
        <w:tc>
          <w:tcPr>
            <w:tcW w:w="252" w:type="dxa"/>
            <w:vAlign w:val="center"/>
          </w:tcPr>
          <w:p w14:paraId="3DE02A19"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5BBBCE08" w14:textId="58F13F48"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ЕЕА</w:t>
            </w:r>
          </w:p>
        </w:tc>
        <w:tc>
          <w:tcPr>
            <w:tcW w:w="250" w:type="dxa"/>
            <w:vAlign w:val="bottom"/>
          </w:tcPr>
          <w:p w14:paraId="4EDBF7A6"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67B886F9" w14:textId="579D5403"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Европската агенција за животна средина</w:t>
            </w:r>
          </w:p>
        </w:tc>
        <w:tc>
          <w:tcPr>
            <w:tcW w:w="283" w:type="dxa"/>
            <w:tcBorders>
              <w:top w:val="nil"/>
              <w:left w:val="nil"/>
              <w:bottom w:val="nil"/>
            </w:tcBorders>
            <w:shd w:val="clear" w:color="auto" w:fill="auto"/>
            <w:vAlign w:val="bottom"/>
          </w:tcPr>
          <w:p w14:paraId="2D1EFF56"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271E4CBB" w14:textId="77777777" w:rsidTr="005D42E7">
        <w:tc>
          <w:tcPr>
            <w:tcW w:w="252" w:type="dxa"/>
            <w:vAlign w:val="center"/>
          </w:tcPr>
          <w:p w14:paraId="52BDFD95"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5DB60EB9" w14:textId="3A1587AC"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ЕПА</w:t>
            </w:r>
          </w:p>
        </w:tc>
        <w:tc>
          <w:tcPr>
            <w:tcW w:w="250" w:type="dxa"/>
            <w:vAlign w:val="bottom"/>
          </w:tcPr>
          <w:p w14:paraId="2C5FC7FE"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71882D9E" w14:textId="06568672"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Американската агенција за заштита на животната средина</w:t>
            </w:r>
          </w:p>
        </w:tc>
        <w:tc>
          <w:tcPr>
            <w:tcW w:w="283" w:type="dxa"/>
            <w:tcBorders>
              <w:top w:val="nil"/>
              <w:left w:val="nil"/>
              <w:bottom w:val="nil"/>
            </w:tcBorders>
            <w:shd w:val="clear" w:color="auto" w:fill="auto"/>
            <w:vAlign w:val="bottom"/>
          </w:tcPr>
          <w:p w14:paraId="104AF825"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2D796031" w14:textId="77777777" w:rsidTr="005D42E7">
        <w:tc>
          <w:tcPr>
            <w:tcW w:w="252" w:type="dxa"/>
            <w:vAlign w:val="center"/>
          </w:tcPr>
          <w:p w14:paraId="507258A1"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4DBF0941" w14:textId="407080EE"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ЕВРО 1–6</w:t>
            </w:r>
          </w:p>
        </w:tc>
        <w:tc>
          <w:tcPr>
            <w:tcW w:w="250" w:type="dxa"/>
            <w:vAlign w:val="bottom"/>
          </w:tcPr>
          <w:p w14:paraId="34D2EA9D"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1A7F675F" w14:textId="370F092C"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Европски регулативи за емисии на издувни гасови од моторни возила</w:t>
            </w:r>
          </w:p>
        </w:tc>
        <w:tc>
          <w:tcPr>
            <w:tcW w:w="283" w:type="dxa"/>
            <w:tcBorders>
              <w:top w:val="nil"/>
              <w:left w:val="nil"/>
              <w:bottom w:val="nil"/>
            </w:tcBorders>
            <w:shd w:val="clear" w:color="auto" w:fill="auto"/>
            <w:vAlign w:val="bottom"/>
          </w:tcPr>
          <w:p w14:paraId="24AD754A"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493DAF1D" w14:textId="77777777" w:rsidTr="005D42E7">
        <w:tc>
          <w:tcPr>
            <w:tcW w:w="252" w:type="dxa"/>
            <w:vAlign w:val="center"/>
          </w:tcPr>
          <w:p w14:paraId="246BF625"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5CCEA1B6" w14:textId="56DFA73D"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ГЕФ</w:t>
            </w:r>
          </w:p>
        </w:tc>
        <w:tc>
          <w:tcPr>
            <w:tcW w:w="250" w:type="dxa"/>
            <w:vAlign w:val="bottom"/>
          </w:tcPr>
          <w:p w14:paraId="7E1EACC3"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79D6B963" w14:textId="5D1FA939"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Глобален еколошки фонд</w:t>
            </w:r>
          </w:p>
        </w:tc>
        <w:tc>
          <w:tcPr>
            <w:tcW w:w="283" w:type="dxa"/>
            <w:tcBorders>
              <w:top w:val="nil"/>
              <w:left w:val="nil"/>
              <w:bottom w:val="nil"/>
            </w:tcBorders>
            <w:shd w:val="clear" w:color="auto" w:fill="auto"/>
            <w:vAlign w:val="bottom"/>
          </w:tcPr>
          <w:p w14:paraId="3D92F13E"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47D765B2" w14:textId="77777777" w:rsidTr="005D42E7">
        <w:tc>
          <w:tcPr>
            <w:tcW w:w="252" w:type="dxa"/>
            <w:vAlign w:val="center"/>
          </w:tcPr>
          <w:p w14:paraId="5E73D256"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1C590F2D" w14:textId="22ABD649"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ГИЗ</w:t>
            </w:r>
          </w:p>
        </w:tc>
        <w:tc>
          <w:tcPr>
            <w:tcW w:w="250" w:type="dxa"/>
            <w:vAlign w:val="bottom"/>
          </w:tcPr>
          <w:p w14:paraId="1FA7F456"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0955498F" w14:textId="35487B8C"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Германска организација за техничка соработка</w:t>
            </w:r>
          </w:p>
        </w:tc>
        <w:tc>
          <w:tcPr>
            <w:tcW w:w="283" w:type="dxa"/>
            <w:tcBorders>
              <w:top w:val="nil"/>
              <w:left w:val="nil"/>
              <w:bottom w:val="nil"/>
            </w:tcBorders>
            <w:shd w:val="clear" w:color="auto" w:fill="auto"/>
            <w:vAlign w:val="bottom"/>
          </w:tcPr>
          <w:p w14:paraId="27F39CE9"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4001AE1D" w14:textId="77777777" w:rsidTr="005D42E7">
        <w:tc>
          <w:tcPr>
            <w:tcW w:w="252" w:type="dxa"/>
            <w:vAlign w:val="center"/>
          </w:tcPr>
          <w:p w14:paraId="2D652958"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1CEFD9FB" w14:textId="67029524"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ИЕА</w:t>
            </w:r>
          </w:p>
        </w:tc>
        <w:tc>
          <w:tcPr>
            <w:tcW w:w="250" w:type="dxa"/>
            <w:vAlign w:val="bottom"/>
          </w:tcPr>
          <w:p w14:paraId="388A30D3"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287FE2CC" w14:textId="180ECDCF"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Меѓународната агенција за енергија</w:t>
            </w:r>
          </w:p>
        </w:tc>
        <w:tc>
          <w:tcPr>
            <w:tcW w:w="283" w:type="dxa"/>
            <w:tcBorders>
              <w:top w:val="nil"/>
              <w:left w:val="nil"/>
              <w:bottom w:val="nil"/>
            </w:tcBorders>
            <w:shd w:val="clear" w:color="auto" w:fill="auto"/>
            <w:vAlign w:val="bottom"/>
          </w:tcPr>
          <w:p w14:paraId="4D2C8546"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2CE01308" w14:textId="77777777" w:rsidTr="005D42E7">
        <w:tc>
          <w:tcPr>
            <w:tcW w:w="252" w:type="dxa"/>
            <w:vAlign w:val="center"/>
          </w:tcPr>
          <w:p w14:paraId="1B8166A7"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4E4BDF85" w14:textId="0AFA32BA"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ЕМИ</w:t>
            </w:r>
          </w:p>
        </w:tc>
        <w:tc>
          <w:tcPr>
            <w:tcW w:w="250" w:type="dxa"/>
            <w:vAlign w:val="bottom"/>
          </w:tcPr>
          <w:p w14:paraId="4FCADCC3"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348410D0" w14:textId="3B78C9B6"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Меѓународна организација за животна средина</w:t>
            </w:r>
          </w:p>
        </w:tc>
        <w:tc>
          <w:tcPr>
            <w:tcW w:w="283" w:type="dxa"/>
            <w:tcBorders>
              <w:top w:val="nil"/>
              <w:left w:val="nil"/>
              <w:bottom w:val="nil"/>
            </w:tcBorders>
            <w:shd w:val="clear" w:color="auto" w:fill="auto"/>
            <w:vAlign w:val="bottom"/>
          </w:tcPr>
          <w:p w14:paraId="4985CB96"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783FFAED" w14:textId="77777777" w:rsidTr="005D42E7">
        <w:tc>
          <w:tcPr>
            <w:tcW w:w="252" w:type="dxa"/>
            <w:vAlign w:val="center"/>
          </w:tcPr>
          <w:p w14:paraId="2B46F612"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5C5AD40C" w14:textId="23DF112D"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МОТ</w:t>
            </w:r>
          </w:p>
        </w:tc>
        <w:tc>
          <w:tcPr>
            <w:tcW w:w="250" w:type="dxa"/>
            <w:vAlign w:val="bottom"/>
          </w:tcPr>
          <w:p w14:paraId="2385C374"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5DA7EC9D" w14:textId="754E5F5C" w:rsidR="000663F5" w:rsidRPr="00F432FC" w:rsidRDefault="002E6477" w:rsidP="000663F5">
            <w:pPr>
              <w:spacing w:beforeLines="20" w:before="48" w:afterLines="20" w:after="48"/>
              <w:jc w:val="both"/>
              <w:rPr>
                <w:rFonts w:asciiTheme="minorHAnsi" w:hAnsiTheme="minorHAnsi"/>
                <w:color w:val="FF0000"/>
              </w:rPr>
            </w:pPr>
            <w:r>
              <w:rPr>
                <w:rFonts w:cs="Calibri"/>
                <w:color w:val="FF0000"/>
                <w:lang w:val="mk-MK"/>
              </w:rPr>
              <w:t>М</w:t>
            </w:r>
            <w:proofErr w:type="spellStart"/>
            <w:r w:rsidR="000663F5" w:rsidRPr="00F432FC">
              <w:rPr>
                <w:rFonts w:cs="Calibri"/>
                <w:color w:val="FF0000"/>
                <w:lang w:val="en-US"/>
              </w:rPr>
              <w:t>еѓународна</w:t>
            </w:r>
            <w:proofErr w:type="spellEnd"/>
            <w:r w:rsidR="000663F5" w:rsidRPr="00F432FC">
              <w:rPr>
                <w:rFonts w:cs="Calibri"/>
                <w:color w:val="FF0000"/>
                <w:lang w:val="en-US"/>
              </w:rPr>
              <w:t xml:space="preserve"> </w:t>
            </w:r>
            <w:proofErr w:type="spellStart"/>
            <w:r w:rsidR="000663F5" w:rsidRPr="00F432FC">
              <w:rPr>
                <w:rFonts w:cs="Calibri"/>
                <w:color w:val="FF0000"/>
                <w:lang w:val="en-US"/>
              </w:rPr>
              <w:t>организација</w:t>
            </w:r>
            <w:proofErr w:type="spellEnd"/>
            <w:r w:rsidR="000663F5" w:rsidRPr="00F432FC">
              <w:rPr>
                <w:rFonts w:cs="Calibri"/>
                <w:color w:val="FF0000"/>
                <w:lang w:val="en-US"/>
              </w:rPr>
              <w:t xml:space="preserve"> на работа (</w:t>
            </w:r>
            <w:proofErr w:type="spellStart"/>
            <w:r w:rsidR="000663F5" w:rsidRPr="00F432FC">
              <w:rPr>
                <w:rFonts w:cs="Calibri"/>
                <w:color w:val="FF0000"/>
                <w:lang w:val="en-US"/>
              </w:rPr>
              <w:t>Меѓународна</w:t>
            </w:r>
            <w:proofErr w:type="spellEnd"/>
            <w:r w:rsidR="000663F5" w:rsidRPr="00F432FC">
              <w:rPr>
                <w:rFonts w:cs="Calibri"/>
                <w:color w:val="FF0000"/>
                <w:lang w:val="en-US"/>
              </w:rPr>
              <w:t xml:space="preserve"> </w:t>
            </w:r>
            <w:proofErr w:type="spellStart"/>
            <w:r w:rsidR="000663F5" w:rsidRPr="00F432FC">
              <w:rPr>
                <w:rFonts w:cs="Calibri"/>
                <w:color w:val="FF0000"/>
                <w:lang w:val="en-US"/>
              </w:rPr>
              <w:t>организација</w:t>
            </w:r>
            <w:proofErr w:type="spellEnd"/>
            <w:r w:rsidR="000663F5" w:rsidRPr="00F432FC">
              <w:rPr>
                <w:rFonts w:cs="Calibri"/>
                <w:color w:val="FF0000"/>
                <w:lang w:val="en-US"/>
              </w:rPr>
              <w:t xml:space="preserve"> на </w:t>
            </w:r>
            <w:proofErr w:type="spellStart"/>
            <w:r w:rsidR="000663F5" w:rsidRPr="00F432FC">
              <w:rPr>
                <w:rFonts w:cs="Calibri"/>
                <w:color w:val="FF0000"/>
                <w:lang w:val="en-US"/>
              </w:rPr>
              <w:t>трудот</w:t>
            </w:r>
            <w:proofErr w:type="spellEnd"/>
            <w:r w:rsidR="000663F5" w:rsidRPr="00F432FC">
              <w:rPr>
                <w:rFonts w:cs="Calibri"/>
                <w:color w:val="FF0000"/>
                <w:lang w:val="en-US"/>
              </w:rPr>
              <w:t xml:space="preserve"> )</w:t>
            </w:r>
          </w:p>
        </w:tc>
        <w:tc>
          <w:tcPr>
            <w:tcW w:w="283" w:type="dxa"/>
            <w:tcBorders>
              <w:top w:val="nil"/>
              <w:left w:val="nil"/>
              <w:bottom w:val="nil"/>
            </w:tcBorders>
            <w:shd w:val="clear" w:color="auto" w:fill="auto"/>
            <w:vAlign w:val="bottom"/>
          </w:tcPr>
          <w:p w14:paraId="0E2D3B13"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6939E3CA" w14:textId="77777777" w:rsidTr="005D42E7">
        <w:tc>
          <w:tcPr>
            <w:tcW w:w="252" w:type="dxa"/>
            <w:vAlign w:val="center"/>
          </w:tcPr>
          <w:p w14:paraId="498A4AB0"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59600DB0" w14:textId="67CDB04C"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ISO</w:t>
            </w:r>
          </w:p>
        </w:tc>
        <w:tc>
          <w:tcPr>
            <w:tcW w:w="250" w:type="dxa"/>
            <w:vAlign w:val="bottom"/>
          </w:tcPr>
          <w:p w14:paraId="54FA0B47"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178F83AE" w14:textId="69A4A6DA"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Меѓународна организација за стандардизација</w:t>
            </w:r>
          </w:p>
        </w:tc>
        <w:tc>
          <w:tcPr>
            <w:tcW w:w="283" w:type="dxa"/>
            <w:tcBorders>
              <w:top w:val="nil"/>
              <w:left w:val="nil"/>
              <w:bottom w:val="nil"/>
            </w:tcBorders>
            <w:shd w:val="clear" w:color="auto" w:fill="auto"/>
            <w:vAlign w:val="bottom"/>
          </w:tcPr>
          <w:p w14:paraId="77BB585D" w14:textId="77777777" w:rsidR="000663F5" w:rsidRPr="00F432FC" w:rsidRDefault="000663F5" w:rsidP="000663F5">
            <w:pPr>
              <w:spacing w:beforeLines="20" w:before="48" w:afterLines="20" w:after="48"/>
              <w:jc w:val="both"/>
              <w:rPr>
                <w:rFonts w:asciiTheme="minorHAnsi" w:hAnsiTheme="minorHAnsi"/>
                <w:color w:val="FF0000"/>
              </w:rPr>
            </w:pPr>
          </w:p>
        </w:tc>
      </w:tr>
      <w:tr w:rsidR="005D42E7" w:rsidRPr="00F432FC" w14:paraId="493C55E1" w14:textId="77777777" w:rsidTr="005D42E7">
        <w:tc>
          <w:tcPr>
            <w:tcW w:w="252" w:type="dxa"/>
            <w:vAlign w:val="center"/>
          </w:tcPr>
          <w:p w14:paraId="7D2EC128" w14:textId="77777777" w:rsidR="005D42E7" w:rsidRPr="00F432FC" w:rsidRDefault="005D42E7"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05B52939" w14:textId="2517444A" w:rsidR="005D42E7" w:rsidRPr="00F432FC" w:rsidRDefault="005D42E7" w:rsidP="005D42E7">
            <w:pPr>
              <w:spacing w:beforeLines="20" w:before="48" w:afterLines="20" w:after="48"/>
              <w:jc w:val="both"/>
              <w:rPr>
                <w:rFonts w:cs="Calibri"/>
                <w:color w:val="FF0000"/>
              </w:rPr>
            </w:pPr>
            <w:r w:rsidRPr="00F432FC">
              <w:rPr>
                <w:rFonts w:cs="Calibri"/>
                <w:color w:val="FF0000"/>
              </w:rPr>
              <w:t>SVHC</w:t>
            </w:r>
          </w:p>
        </w:tc>
        <w:tc>
          <w:tcPr>
            <w:tcW w:w="250" w:type="dxa"/>
            <w:vAlign w:val="bottom"/>
          </w:tcPr>
          <w:p w14:paraId="11FB35C5" w14:textId="77777777" w:rsidR="005D42E7" w:rsidRPr="00F432FC" w:rsidRDefault="005D42E7"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6D4A73AC" w14:textId="035ED2E8" w:rsidR="005D42E7" w:rsidRPr="00F432FC" w:rsidRDefault="005D42E7" w:rsidP="000663F5">
            <w:pPr>
              <w:spacing w:beforeLines="20" w:before="48" w:afterLines="20" w:after="48"/>
              <w:jc w:val="both"/>
              <w:rPr>
                <w:rFonts w:cs="Calibri"/>
                <w:color w:val="FF0000"/>
              </w:rPr>
            </w:pPr>
            <w:r w:rsidRPr="00F432FC">
              <w:rPr>
                <w:rFonts w:cs="Calibri"/>
                <w:color w:val="FF0000"/>
              </w:rPr>
              <w:t>Супстанции со многу голема загриженост (SVHC)</w:t>
            </w:r>
          </w:p>
        </w:tc>
        <w:tc>
          <w:tcPr>
            <w:tcW w:w="283" w:type="dxa"/>
            <w:tcBorders>
              <w:top w:val="nil"/>
              <w:left w:val="nil"/>
              <w:bottom w:val="nil"/>
            </w:tcBorders>
            <w:shd w:val="clear" w:color="auto" w:fill="auto"/>
            <w:vAlign w:val="bottom"/>
          </w:tcPr>
          <w:p w14:paraId="5C4474A9" w14:textId="77777777" w:rsidR="005D42E7" w:rsidRPr="00F432FC" w:rsidRDefault="005D42E7" w:rsidP="000663F5">
            <w:pPr>
              <w:spacing w:beforeLines="20" w:before="48" w:afterLines="20" w:after="48"/>
              <w:jc w:val="both"/>
              <w:rPr>
                <w:rFonts w:asciiTheme="minorHAnsi" w:hAnsiTheme="minorHAnsi"/>
                <w:color w:val="FF0000"/>
              </w:rPr>
            </w:pPr>
          </w:p>
        </w:tc>
      </w:tr>
      <w:tr w:rsidR="000663F5" w:rsidRPr="00F432FC" w14:paraId="03DE1A9E" w14:textId="77777777" w:rsidTr="005D42E7">
        <w:tc>
          <w:tcPr>
            <w:tcW w:w="252" w:type="dxa"/>
            <w:vAlign w:val="center"/>
          </w:tcPr>
          <w:p w14:paraId="6CE4ADE6"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1BF03184" w14:textId="6CA1F44D"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ОН</w:t>
            </w:r>
          </w:p>
        </w:tc>
        <w:tc>
          <w:tcPr>
            <w:tcW w:w="250" w:type="dxa"/>
            <w:vAlign w:val="bottom"/>
          </w:tcPr>
          <w:p w14:paraId="68A84A3A"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1B347288" w14:textId="1C261886"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Обединетите нации</w:t>
            </w:r>
          </w:p>
        </w:tc>
        <w:tc>
          <w:tcPr>
            <w:tcW w:w="283" w:type="dxa"/>
            <w:tcBorders>
              <w:top w:val="nil"/>
              <w:left w:val="nil"/>
              <w:bottom w:val="nil"/>
            </w:tcBorders>
            <w:shd w:val="clear" w:color="auto" w:fill="auto"/>
            <w:vAlign w:val="bottom"/>
          </w:tcPr>
          <w:p w14:paraId="461A8E9E"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03BE8DF3" w14:textId="77777777" w:rsidTr="005D42E7">
        <w:tc>
          <w:tcPr>
            <w:tcW w:w="252" w:type="dxa"/>
            <w:vAlign w:val="center"/>
          </w:tcPr>
          <w:p w14:paraId="7AAFE35B"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48B21098" w14:textId="7C878B8B"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УНДП</w:t>
            </w:r>
          </w:p>
        </w:tc>
        <w:tc>
          <w:tcPr>
            <w:tcW w:w="250" w:type="dxa"/>
            <w:vAlign w:val="bottom"/>
          </w:tcPr>
          <w:p w14:paraId="72337ED8"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3C960653" w14:textId="77013C8B"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Програмата за развој на Обединетите нации</w:t>
            </w:r>
          </w:p>
        </w:tc>
        <w:tc>
          <w:tcPr>
            <w:tcW w:w="283" w:type="dxa"/>
            <w:tcBorders>
              <w:top w:val="nil"/>
              <w:left w:val="nil"/>
              <w:bottom w:val="nil"/>
            </w:tcBorders>
            <w:shd w:val="clear" w:color="auto" w:fill="auto"/>
            <w:vAlign w:val="bottom"/>
          </w:tcPr>
          <w:p w14:paraId="627D80AE"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565CC252" w14:textId="77777777" w:rsidTr="005D42E7">
        <w:tc>
          <w:tcPr>
            <w:tcW w:w="252" w:type="dxa"/>
            <w:vAlign w:val="center"/>
          </w:tcPr>
          <w:p w14:paraId="4058449F"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154D5B16" w14:textId="057C93D1"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УНЕП</w:t>
            </w:r>
          </w:p>
        </w:tc>
        <w:tc>
          <w:tcPr>
            <w:tcW w:w="250" w:type="dxa"/>
            <w:vAlign w:val="bottom"/>
          </w:tcPr>
          <w:p w14:paraId="53AC0DDE"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0A9CE44E" w14:textId="173F5B05"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Програмата на Обединетите нации за животна средина</w:t>
            </w:r>
          </w:p>
        </w:tc>
        <w:tc>
          <w:tcPr>
            <w:tcW w:w="283" w:type="dxa"/>
            <w:tcBorders>
              <w:top w:val="nil"/>
              <w:left w:val="nil"/>
              <w:bottom w:val="nil"/>
            </w:tcBorders>
            <w:shd w:val="clear" w:color="auto" w:fill="auto"/>
            <w:vAlign w:val="bottom"/>
          </w:tcPr>
          <w:p w14:paraId="3FEF31F8"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4402418B" w14:textId="77777777" w:rsidTr="005D42E7">
        <w:tc>
          <w:tcPr>
            <w:tcW w:w="252" w:type="dxa"/>
            <w:vAlign w:val="center"/>
          </w:tcPr>
          <w:p w14:paraId="3F97ABB7"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38A362D9" w14:textId="74939B17"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WEO</w:t>
            </w:r>
          </w:p>
        </w:tc>
        <w:tc>
          <w:tcPr>
            <w:tcW w:w="250" w:type="dxa"/>
            <w:vAlign w:val="bottom"/>
          </w:tcPr>
          <w:p w14:paraId="6F13F0BA"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6B06FDDD" w14:textId="5DB1BE1C"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Светска организација за животна средина</w:t>
            </w:r>
          </w:p>
        </w:tc>
        <w:tc>
          <w:tcPr>
            <w:tcW w:w="283" w:type="dxa"/>
            <w:tcBorders>
              <w:top w:val="nil"/>
              <w:left w:val="nil"/>
              <w:bottom w:val="nil"/>
            </w:tcBorders>
            <w:shd w:val="clear" w:color="auto" w:fill="auto"/>
            <w:vAlign w:val="bottom"/>
          </w:tcPr>
          <w:p w14:paraId="0645EF84"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686D12C7" w14:textId="77777777" w:rsidTr="005D42E7">
        <w:tc>
          <w:tcPr>
            <w:tcW w:w="252" w:type="dxa"/>
            <w:vAlign w:val="center"/>
          </w:tcPr>
          <w:p w14:paraId="259939E1"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DAEEF3" w:themeFill="accent5" w:themeFillTint="33"/>
            <w:vAlign w:val="center"/>
          </w:tcPr>
          <w:p w14:paraId="024E320D" w14:textId="06D722A6" w:rsidR="000663F5" w:rsidRPr="00F432FC" w:rsidRDefault="000663F5" w:rsidP="005D42E7">
            <w:pPr>
              <w:spacing w:beforeLines="20" w:before="48" w:afterLines="20" w:after="48"/>
              <w:jc w:val="both"/>
              <w:rPr>
                <w:rFonts w:asciiTheme="minorHAnsi" w:hAnsiTheme="minorHAnsi"/>
                <w:color w:val="FF0000"/>
              </w:rPr>
            </w:pPr>
            <w:r w:rsidRPr="00F432FC">
              <w:rPr>
                <w:rFonts w:cs="Calibri"/>
                <w:color w:val="FF0000"/>
              </w:rPr>
              <w:t>ЕБОР</w:t>
            </w:r>
          </w:p>
        </w:tc>
        <w:tc>
          <w:tcPr>
            <w:tcW w:w="250" w:type="dxa"/>
            <w:vAlign w:val="bottom"/>
          </w:tcPr>
          <w:p w14:paraId="0CE2D0E0"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shd w:val="clear" w:color="auto" w:fill="DAEEF3" w:themeFill="accent5" w:themeFillTint="33"/>
            <w:vAlign w:val="bottom"/>
          </w:tcPr>
          <w:p w14:paraId="7473E509" w14:textId="0658F20E" w:rsidR="000663F5" w:rsidRPr="00F432FC" w:rsidRDefault="000663F5" w:rsidP="000663F5">
            <w:pPr>
              <w:spacing w:beforeLines="20" w:before="48" w:afterLines="20" w:after="48"/>
              <w:jc w:val="both"/>
              <w:rPr>
                <w:rFonts w:asciiTheme="minorHAnsi" w:hAnsiTheme="minorHAnsi"/>
                <w:color w:val="FF0000"/>
              </w:rPr>
            </w:pPr>
            <w:r w:rsidRPr="00F432FC">
              <w:rPr>
                <w:rFonts w:cs="Calibri"/>
                <w:color w:val="FF0000"/>
              </w:rPr>
              <w:t>Европската банка за обнова и развој</w:t>
            </w:r>
          </w:p>
        </w:tc>
        <w:tc>
          <w:tcPr>
            <w:tcW w:w="283" w:type="dxa"/>
            <w:tcBorders>
              <w:top w:val="nil"/>
              <w:left w:val="nil"/>
              <w:bottom w:val="nil"/>
            </w:tcBorders>
            <w:shd w:val="clear" w:color="auto" w:fill="auto"/>
            <w:vAlign w:val="bottom"/>
          </w:tcPr>
          <w:p w14:paraId="1D267BEE" w14:textId="77777777" w:rsidR="000663F5" w:rsidRPr="00F432FC" w:rsidRDefault="000663F5" w:rsidP="000663F5">
            <w:pPr>
              <w:spacing w:beforeLines="20" w:before="48" w:afterLines="20" w:after="48"/>
              <w:jc w:val="both"/>
              <w:rPr>
                <w:rFonts w:asciiTheme="minorHAnsi" w:hAnsiTheme="minorHAnsi"/>
                <w:color w:val="FF0000"/>
              </w:rPr>
            </w:pPr>
          </w:p>
        </w:tc>
      </w:tr>
      <w:tr w:rsidR="000663F5" w:rsidRPr="00F432FC" w14:paraId="3916B8D7" w14:textId="77777777" w:rsidTr="00CA36F2">
        <w:tc>
          <w:tcPr>
            <w:tcW w:w="252" w:type="dxa"/>
            <w:vAlign w:val="center"/>
          </w:tcPr>
          <w:p w14:paraId="63218082" w14:textId="77777777" w:rsidR="000663F5" w:rsidRPr="00F432FC" w:rsidRDefault="000663F5" w:rsidP="000663F5">
            <w:pPr>
              <w:spacing w:beforeLines="20" w:before="48" w:afterLines="20" w:after="48"/>
              <w:jc w:val="center"/>
              <w:rPr>
                <w:rFonts w:asciiTheme="minorHAnsi" w:hAnsiTheme="minorHAnsi"/>
                <w:color w:val="FF0000"/>
              </w:rPr>
            </w:pPr>
          </w:p>
        </w:tc>
        <w:tc>
          <w:tcPr>
            <w:tcW w:w="1114" w:type="dxa"/>
            <w:shd w:val="clear" w:color="auto" w:fill="auto"/>
            <w:vAlign w:val="bottom"/>
          </w:tcPr>
          <w:p w14:paraId="174BF73C" w14:textId="77777777" w:rsidR="000663F5" w:rsidRPr="00F432FC" w:rsidRDefault="000663F5" w:rsidP="000663F5">
            <w:pPr>
              <w:spacing w:beforeLines="20" w:before="48" w:afterLines="20" w:after="48"/>
              <w:jc w:val="both"/>
              <w:rPr>
                <w:rFonts w:asciiTheme="minorHAnsi" w:hAnsiTheme="minorHAnsi"/>
                <w:color w:val="FF0000"/>
              </w:rPr>
            </w:pPr>
          </w:p>
        </w:tc>
        <w:tc>
          <w:tcPr>
            <w:tcW w:w="250" w:type="dxa"/>
            <w:vAlign w:val="bottom"/>
          </w:tcPr>
          <w:p w14:paraId="585883E0" w14:textId="77777777" w:rsidR="000663F5" w:rsidRPr="00F432FC" w:rsidRDefault="000663F5" w:rsidP="000663F5">
            <w:pPr>
              <w:spacing w:beforeLines="20" w:before="48" w:afterLines="20" w:after="48"/>
              <w:jc w:val="both"/>
              <w:rPr>
                <w:rFonts w:asciiTheme="minorHAnsi" w:hAnsiTheme="minorHAnsi"/>
                <w:color w:val="FF0000"/>
              </w:rPr>
            </w:pPr>
          </w:p>
        </w:tc>
        <w:tc>
          <w:tcPr>
            <w:tcW w:w="7735" w:type="dxa"/>
            <w:tcBorders>
              <w:right w:val="nil"/>
            </w:tcBorders>
            <w:vAlign w:val="bottom"/>
          </w:tcPr>
          <w:p w14:paraId="56C8025D" w14:textId="77777777" w:rsidR="000663F5" w:rsidRPr="00F432FC" w:rsidRDefault="000663F5" w:rsidP="000663F5">
            <w:pPr>
              <w:spacing w:beforeLines="20" w:before="48" w:afterLines="20" w:after="48"/>
              <w:jc w:val="both"/>
              <w:rPr>
                <w:rFonts w:asciiTheme="minorHAnsi" w:hAnsiTheme="minorHAnsi"/>
                <w:color w:val="FF0000"/>
              </w:rPr>
            </w:pPr>
          </w:p>
        </w:tc>
        <w:tc>
          <w:tcPr>
            <w:tcW w:w="283" w:type="dxa"/>
            <w:tcBorders>
              <w:top w:val="nil"/>
              <w:left w:val="nil"/>
              <w:bottom w:val="single" w:sz="4" w:space="0" w:color="auto"/>
            </w:tcBorders>
            <w:shd w:val="clear" w:color="auto" w:fill="auto"/>
            <w:vAlign w:val="bottom"/>
          </w:tcPr>
          <w:p w14:paraId="520F8965" w14:textId="77777777" w:rsidR="000663F5" w:rsidRPr="00F432FC" w:rsidRDefault="000663F5" w:rsidP="000663F5">
            <w:pPr>
              <w:spacing w:beforeLines="20" w:before="48" w:afterLines="20" w:after="48"/>
              <w:jc w:val="both"/>
              <w:rPr>
                <w:rFonts w:asciiTheme="minorHAnsi" w:hAnsiTheme="minorHAnsi"/>
                <w:color w:val="FF0000"/>
              </w:rPr>
            </w:pPr>
          </w:p>
        </w:tc>
      </w:tr>
    </w:tbl>
    <w:p w14:paraId="364F9E02" w14:textId="77777777" w:rsidR="007743B7" w:rsidRDefault="007743B7" w:rsidP="007743B7">
      <w:pPr>
        <w:rPr>
          <w:rFonts w:asciiTheme="minorHAnsi" w:hAnsiTheme="minorHAnsi"/>
          <w:lang w:val="en-US"/>
        </w:rPr>
      </w:pPr>
    </w:p>
    <w:p w14:paraId="6D69DB02" w14:textId="77777777" w:rsidR="000663F5" w:rsidRDefault="000663F5" w:rsidP="007743B7">
      <w:pPr>
        <w:rPr>
          <w:rFonts w:asciiTheme="minorHAnsi" w:hAnsiTheme="minorHAnsi"/>
          <w:lang w:val="en-US"/>
        </w:rPr>
      </w:pPr>
    </w:p>
    <w:p w14:paraId="5C3B89A8" w14:textId="77777777" w:rsidR="000663F5" w:rsidRDefault="000663F5" w:rsidP="007743B7">
      <w:pPr>
        <w:rPr>
          <w:rFonts w:asciiTheme="minorHAnsi" w:hAnsiTheme="minorHAnsi"/>
          <w:lang w:val="en-US"/>
        </w:rPr>
      </w:pPr>
    </w:p>
    <w:p w14:paraId="3216A393" w14:textId="77777777" w:rsidR="000663F5" w:rsidRDefault="000663F5" w:rsidP="007743B7">
      <w:pPr>
        <w:rPr>
          <w:rFonts w:asciiTheme="minorHAnsi" w:hAnsiTheme="minorHAnsi"/>
          <w:lang w:val="en-US"/>
        </w:rPr>
      </w:pPr>
    </w:p>
    <w:p w14:paraId="48A43275" w14:textId="77777777" w:rsidR="000663F5" w:rsidRDefault="000663F5" w:rsidP="007743B7">
      <w:pPr>
        <w:rPr>
          <w:rFonts w:asciiTheme="minorHAnsi" w:hAnsiTheme="minorHAnsi"/>
          <w:lang w:val="en-US"/>
        </w:rPr>
      </w:pPr>
    </w:p>
    <w:p w14:paraId="083CD55E" w14:textId="0FAF4FAC" w:rsidR="000663F5" w:rsidRDefault="000663F5" w:rsidP="007743B7">
      <w:pPr>
        <w:rPr>
          <w:rFonts w:asciiTheme="minorHAnsi" w:hAnsiTheme="minorHAnsi"/>
          <w:lang w:val="en-US"/>
        </w:rPr>
      </w:pPr>
    </w:p>
    <w:p w14:paraId="5390314E" w14:textId="69D3836C" w:rsidR="00733810" w:rsidRDefault="00733810">
      <w:pPr>
        <w:rPr>
          <w:rFonts w:asciiTheme="minorHAnsi" w:hAnsiTheme="minorHAnsi"/>
          <w:lang w:val="en-US"/>
        </w:rPr>
      </w:pPr>
      <w:r>
        <w:rPr>
          <w:rFonts w:asciiTheme="minorHAnsi" w:hAnsiTheme="minorHAnsi"/>
          <w:lang w:val="en-US"/>
        </w:rPr>
        <w:br w:type="page"/>
      </w:r>
    </w:p>
    <w:p w14:paraId="2100B5A7" w14:textId="77777777" w:rsidR="008B53FC" w:rsidRPr="00260370" w:rsidRDefault="008B53FC" w:rsidP="008B53FC">
      <w:pPr>
        <w:pStyle w:val="Heading1"/>
        <w:spacing w:before="0" w:after="0"/>
        <w:rPr>
          <w:rFonts w:asciiTheme="minorHAnsi" w:hAnsiTheme="minorHAnsi" w:cstheme="minorHAnsi"/>
          <w:b/>
          <w:bCs/>
          <w:color w:val="auto"/>
          <w:sz w:val="24"/>
          <w:szCs w:val="24"/>
        </w:rPr>
      </w:pPr>
      <w:bookmarkStart w:id="2" w:name="_Toc195047162"/>
      <w:r w:rsidRPr="00260370">
        <w:rPr>
          <w:rFonts w:asciiTheme="minorHAnsi" w:hAnsiTheme="minorHAnsi" w:cstheme="minorHAnsi"/>
          <w:b/>
          <w:bCs/>
          <w:color w:val="auto"/>
          <w:sz w:val="24"/>
          <w:szCs w:val="24"/>
        </w:rPr>
        <w:t>1. Вовед</w:t>
      </w:r>
      <w:bookmarkEnd w:id="2"/>
    </w:p>
    <w:p w14:paraId="33459239" w14:textId="77777777" w:rsidR="008B53FC" w:rsidRPr="00260370" w:rsidRDefault="008B53FC" w:rsidP="008B53FC">
      <w:pPr>
        <w:rPr>
          <w:rFonts w:asciiTheme="minorHAnsi" w:hAnsiTheme="minorHAnsi"/>
        </w:rPr>
      </w:pPr>
    </w:p>
    <w:p w14:paraId="1E468809" w14:textId="48B45952" w:rsidR="00FF7472" w:rsidRPr="00260370" w:rsidRDefault="00FF7472" w:rsidP="00FF7472">
      <w:pPr>
        <w:tabs>
          <w:tab w:val="left" w:pos="3708"/>
        </w:tabs>
        <w:jc w:val="both"/>
        <w:rPr>
          <w:rFonts w:asciiTheme="minorHAnsi" w:hAnsiTheme="minorHAnsi"/>
          <w:lang w:val="sr-Latn-RS"/>
        </w:rPr>
      </w:pPr>
      <w:r w:rsidRPr="00260370">
        <w:rPr>
          <w:rFonts w:asciiTheme="minorHAnsi" w:hAnsiTheme="minorHAnsi"/>
        </w:rPr>
        <w:t>Зелениот бизнис е деловна практика која се стреми да ги намали негативните влијанија врз животната средина, општеството и економијата, притоа генерирајќи профит. Претприемачите кои ги применуваат принципите на одржливост во нивниот бизнис го балансираат профитот и зачувувањето на природните ресурси. Зелените бизниси не само што ги оптимизираат своите производствени процеси, туку нудат и производи и услуги кои имаат минимални негативни влијанија врз животната средина.</w:t>
      </w:r>
    </w:p>
    <w:p w14:paraId="49D38418" w14:textId="77777777" w:rsidR="00FF7472" w:rsidRPr="00260370" w:rsidRDefault="00FF7472" w:rsidP="00FF7472">
      <w:pPr>
        <w:tabs>
          <w:tab w:val="left" w:pos="3708"/>
        </w:tabs>
        <w:jc w:val="both"/>
        <w:rPr>
          <w:rFonts w:asciiTheme="minorHAnsi" w:hAnsiTheme="minorHAnsi"/>
        </w:rPr>
      </w:pPr>
    </w:p>
    <w:p w14:paraId="12DD79EB" w14:textId="527F565F" w:rsidR="00FF7472" w:rsidRPr="00260370" w:rsidRDefault="00FF7472" w:rsidP="00FF7472">
      <w:pPr>
        <w:tabs>
          <w:tab w:val="left" w:pos="3708"/>
        </w:tabs>
        <w:jc w:val="both"/>
        <w:rPr>
          <w:rFonts w:asciiTheme="minorHAnsi" w:hAnsiTheme="minorHAnsi"/>
        </w:rPr>
      </w:pPr>
      <w:r w:rsidRPr="00260370">
        <w:rPr>
          <w:rFonts w:asciiTheme="minorHAnsi" w:hAnsiTheme="minorHAnsi"/>
        </w:rPr>
        <w:t>Сите бизниси, без разлика на големината, имаат потенцијал да ги озеленуваат своите операции – без разлика дали преку поефикасна употреба на ресурсите, намалени емисии на стакленички гасови или префрлување на обновливи извори на енергија. Пренасочувањето на вашиот бизнис кон одржливост носи повеќекратни придобивки, вклучувајќи долгорочни заштеди, подобрена конкурентност на домашните и меѓународните пазари и пристап до нови извори на финансирање.</w:t>
      </w:r>
    </w:p>
    <w:p w14:paraId="7A21698D" w14:textId="77777777" w:rsidR="00FF7472" w:rsidRPr="00260370" w:rsidRDefault="00FF7472" w:rsidP="00FF7472">
      <w:pPr>
        <w:tabs>
          <w:tab w:val="left" w:pos="3708"/>
        </w:tabs>
        <w:jc w:val="both"/>
        <w:rPr>
          <w:rFonts w:asciiTheme="minorHAnsi" w:hAnsiTheme="minorHAnsi"/>
        </w:rPr>
      </w:pPr>
    </w:p>
    <w:p w14:paraId="559AEC22" w14:textId="69D20F12" w:rsidR="00FF7472" w:rsidRPr="00260370" w:rsidRDefault="00FF7472" w:rsidP="00FF7472">
      <w:pPr>
        <w:tabs>
          <w:tab w:val="left" w:pos="3708"/>
        </w:tabs>
        <w:jc w:val="both"/>
        <w:rPr>
          <w:rFonts w:asciiTheme="minorHAnsi" w:hAnsiTheme="minorHAnsi"/>
        </w:rPr>
      </w:pPr>
      <w:r w:rsidRPr="00260370">
        <w:rPr>
          <w:rFonts w:asciiTheme="minorHAnsi" w:hAnsiTheme="minorHAnsi"/>
        </w:rPr>
        <w:t xml:space="preserve">Голем број бизниси во </w:t>
      </w:r>
      <w:r w:rsidR="00CA5999">
        <w:rPr>
          <w:rFonts w:asciiTheme="minorHAnsi" w:hAnsiTheme="minorHAnsi"/>
        </w:rPr>
        <w:t>Северна Македонија</w:t>
      </w:r>
      <w:r w:rsidRPr="00260370">
        <w:rPr>
          <w:rFonts w:asciiTheme="minorHAnsi" w:hAnsiTheme="minorHAnsi"/>
        </w:rPr>
        <w:t xml:space="preserve"> и Северна Македонија веќе ги препознаа придобивките од зелената трансформација и инвестираа во енергетски ефикасни технологии, како што се соларни панели. Иако постои значителен потенцијал за понатамошен напредок, бариерите како што се недостатокот на капитал, ограничените зелени вештини и недостатокот на информации за достапните зелени стимулации и јавните набавки често го забавуваат ширењето на зелените практики.</w:t>
      </w:r>
    </w:p>
    <w:p w14:paraId="6E4348AB" w14:textId="77777777" w:rsidR="00FF7472" w:rsidRPr="00260370" w:rsidRDefault="00FF7472" w:rsidP="00FF7472">
      <w:pPr>
        <w:tabs>
          <w:tab w:val="left" w:pos="3708"/>
        </w:tabs>
        <w:jc w:val="both"/>
        <w:rPr>
          <w:rFonts w:asciiTheme="minorHAnsi" w:hAnsiTheme="minorHAnsi"/>
        </w:rPr>
      </w:pPr>
    </w:p>
    <w:p w14:paraId="1239AA43" w14:textId="6128703E" w:rsidR="00A132A7" w:rsidRPr="00260370" w:rsidRDefault="00BB2B69" w:rsidP="0006132A">
      <w:pPr>
        <w:tabs>
          <w:tab w:val="left" w:pos="3708"/>
        </w:tabs>
        <w:jc w:val="both"/>
        <w:rPr>
          <w:rFonts w:asciiTheme="minorHAnsi" w:hAnsiTheme="minorHAnsi"/>
        </w:rPr>
      </w:pPr>
      <w:bookmarkStart w:id="3" w:name="_Hlk193966781"/>
      <w:r w:rsidRPr="00260370">
        <w:rPr>
          <w:rFonts w:asciiTheme="minorHAnsi" w:hAnsiTheme="minorHAnsi"/>
        </w:rPr>
        <w:t xml:space="preserve">Проектот Зелен пат – Зелено деловно партнерство во рамките на Програмата ЕРАЗМУС+ (во натамошниот текст: Проектот) има за цел да го поддржи развојот на зелените вештини кај малите и средните претпријатија и организациите за поддршка на бизнисот од </w:t>
      </w:r>
      <w:r w:rsidR="00CA5999">
        <w:rPr>
          <w:rFonts w:asciiTheme="minorHAnsi" w:hAnsiTheme="minorHAnsi"/>
        </w:rPr>
        <w:t>Северна Македонија</w:t>
      </w:r>
      <w:r w:rsidRPr="00260370">
        <w:rPr>
          <w:rFonts w:asciiTheme="minorHAnsi" w:hAnsiTheme="minorHAnsi"/>
        </w:rPr>
        <w:t xml:space="preserve"> и </w:t>
      </w:r>
      <w:r w:rsidR="00CA5999">
        <w:rPr>
          <w:rFonts w:asciiTheme="minorHAnsi" w:hAnsiTheme="minorHAnsi"/>
          <w:lang w:val="mk-MK"/>
        </w:rPr>
        <w:t>Србија</w:t>
      </w:r>
      <w:r w:rsidRPr="00260370">
        <w:rPr>
          <w:rFonts w:asciiTheme="minorHAnsi" w:hAnsiTheme="minorHAnsi"/>
        </w:rPr>
        <w:t xml:space="preserve">. Овој проект е заедничка иницијатива на Центарот за развој на окрузите Јабланица и Пчиња од </w:t>
      </w:r>
      <w:r w:rsidR="00CA5999">
        <w:rPr>
          <w:rFonts w:asciiTheme="minorHAnsi" w:hAnsiTheme="minorHAnsi"/>
          <w:lang w:val="mk-MK"/>
        </w:rPr>
        <w:t xml:space="preserve">Србија </w:t>
      </w:r>
      <w:r w:rsidRPr="00260370">
        <w:rPr>
          <w:rFonts w:asciiTheme="minorHAnsi" w:hAnsiTheme="minorHAnsi"/>
        </w:rPr>
        <w:t xml:space="preserve">и Занаетчиската комора од Скопје, Северна Македонија. Општата цел на проектот е да го поддржи развојот на зелените вештини кај малите и средните претпријатија и организациите за поддршка на бизнисот (ОБО) од </w:t>
      </w:r>
      <w:r w:rsidR="003B7A49">
        <w:rPr>
          <w:rFonts w:asciiTheme="minorHAnsi" w:hAnsiTheme="minorHAnsi"/>
          <w:lang w:val="mk-MK"/>
        </w:rPr>
        <w:t>Србија</w:t>
      </w:r>
      <w:r w:rsidRPr="00260370">
        <w:rPr>
          <w:rFonts w:asciiTheme="minorHAnsi" w:hAnsiTheme="minorHAnsi"/>
        </w:rPr>
        <w:t xml:space="preserve"> и Северна Македонија преку транснационално партнерство, размена, споделување образовни ресурси и соработка во областа на заеднички развој и тестирање на практични методи и обука за </w:t>
      </w:r>
      <w:r w:rsidR="003B7A49">
        <w:rPr>
          <w:rFonts w:asciiTheme="minorHAnsi" w:hAnsiTheme="minorHAnsi"/>
        </w:rPr>
        <w:t>озеленување</w:t>
      </w:r>
      <w:r w:rsidRPr="00260370">
        <w:rPr>
          <w:rFonts w:asciiTheme="minorHAnsi" w:hAnsiTheme="minorHAnsi"/>
        </w:rPr>
        <w:t xml:space="preserve"> на бизнисите.</w:t>
      </w:r>
    </w:p>
    <w:p w14:paraId="0DB4DF07" w14:textId="77777777" w:rsidR="00A132A7" w:rsidRPr="00260370" w:rsidRDefault="00A132A7" w:rsidP="0006132A">
      <w:pPr>
        <w:tabs>
          <w:tab w:val="left" w:pos="3708"/>
        </w:tabs>
        <w:jc w:val="both"/>
        <w:rPr>
          <w:rFonts w:asciiTheme="minorHAnsi" w:hAnsiTheme="minorHAnsi"/>
        </w:rPr>
      </w:pPr>
    </w:p>
    <w:p w14:paraId="26DEE0BB" w14:textId="5CA92BEB" w:rsidR="00A132A7" w:rsidRPr="00260370" w:rsidRDefault="00BB2B69" w:rsidP="0006132A">
      <w:pPr>
        <w:tabs>
          <w:tab w:val="left" w:pos="3708"/>
        </w:tabs>
        <w:jc w:val="both"/>
        <w:rPr>
          <w:rFonts w:asciiTheme="minorHAnsi" w:hAnsiTheme="minorHAnsi"/>
        </w:rPr>
      </w:pPr>
      <w:r w:rsidRPr="00260370">
        <w:rPr>
          <w:rFonts w:asciiTheme="minorHAnsi" w:hAnsiTheme="minorHAnsi"/>
        </w:rPr>
        <w:t xml:space="preserve">Имплементацијата на проектите овозможува патеки за учење и имплементација на едноставни и практични решенија за зазеленување на бизнисите. Овие патишта се трасираат низ три специфични цели, имено: 1) опремување на обучувачите/едукаторите од организациите за поддршка на бизнисот со нови компетенции (вештини, знаење, ставови) и алатки за </w:t>
      </w:r>
      <w:r w:rsidR="003B7A49">
        <w:rPr>
          <w:rFonts w:asciiTheme="minorHAnsi" w:hAnsiTheme="minorHAnsi"/>
        </w:rPr>
        <w:t>озеленување</w:t>
      </w:r>
      <w:r w:rsidRPr="00260370">
        <w:rPr>
          <w:rFonts w:asciiTheme="minorHAnsi" w:hAnsiTheme="minorHAnsi"/>
        </w:rPr>
        <w:t xml:space="preserve"> на бизнисите; 2) развие и тестира приспособени методологии за обука, наставни програми и модули за обука за </w:t>
      </w:r>
      <w:r w:rsidR="003B7A49">
        <w:rPr>
          <w:rFonts w:asciiTheme="minorHAnsi" w:hAnsiTheme="minorHAnsi"/>
        </w:rPr>
        <w:t>озеленување</w:t>
      </w:r>
      <w:r w:rsidRPr="00260370">
        <w:rPr>
          <w:rFonts w:asciiTheme="minorHAnsi" w:hAnsiTheme="minorHAnsi"/>
        </w:rPr>
        <w:t xml:space="preserve"> на бизнисите; 3) стимулирање на зелената транзиција на малите и средни претпријатија и социо-економските партнери преку размена на најдобри практики и искуства во </w:t>
      </w:r>
      <w:r w:rsidR="003B7A49">
        <w:rPr>
          <w:rFonts w:asciiTheme="minorHAnsi" w:hAnsiTheme="minorHAnsi"/>
        </w:rPr>
        <w:t>озеленување</w:t>
      </w:r>
      <w:r w:rsidRPr="00260370">
        <w:rPr>
          <w:rFonts w:asciiTheme="minorHAnsi" w:hAnsiTheme="minorHAnsi"/>
        </w:rPr>
        <w:t>то на бизнисите.</w:t>
      </w:r>
    </w:p>
    <w:p w14:paraId="37E07E9B" w14:textId="77777777" w:rsidR="00A132A7" w:rsidRPr="00260370" w:rsidRDefault="00A132A7" w:rsidP="0006132A">
      <w:pPr>
        <w:tabs>
          <w:tab w:val="left" w:pos="3708"/>
        </w:tabs>
        <w:jc w:val="both"/>
        <w:rPr>
          <w:rFonts w:asciiTheme="minorHAnsi" w:hAnsiTheme="minorHAnsi"/>
        </w:rPr>
      </w:pPr>
    </w:p>
    <w:p w14:paraId="6FEA7B6C" w14:textId="470D43F6" w:rsidR="00A132A7" w:rsidRPr="00260370" w:rsidRDefault="00BB2B69" w:rsidP="0006132A">
      <w:pPr>
        <w:tabs>
          <w:tab w:val="left" w:pos="3708"/>
        </w:tabs>
        <w:jc w:val="both"/>
        <w:rPr>
          <w:rFonts w:asciiTheme="minorHAnsi" w:hAnsiTheme="minorHAnsi"/>
        </w:rPr>
      </w:pPr>
      <w:r w:rsidRPr="00260370">
        <w:rPr>
          <w:rFonts w:asciiTheme="minorHAnsi" w:hAnsiTheme="minorHAnsi"/>
        </w:rPr>
        <w:t xml:space="preserve">Директни корисници на проектот се деловни и јавни субјекти од </w:t>
      </w:r>
      <w:r w:rsidR="00CA5999">
        <w:rPr>
          <w:rFonts w:asciiTheme="minorHAnsi" w:hAnsiTheme="minorHAnsi"/>
        </w:rPr>
        <w:t>С</w:t>
      </w:r>
      <w:r w:rsidR="003B7A49">
        <w:rPr>
          <w:rFonts w:asciiTheme="minorHAnsi" w:hAnsiTheme="minorHAnsi"/>
          <w:lang w:val="mk-MK"/>
        </w:rPr>
        <w:t>рбија</w:t>
      </w:r>
      <w:r w:rsidR="00A33E18">
        <w:rPr>
          <w:rFonts w:asciiTheme="minorHAnsi" w:hAnsiTheme="minorHAnsi"/>
          <w:lang w:val="mk-MK"/>
        </w:rPr>
        <w:t xml:space="preserve"> </w:t>
      </w:r>
      <w:r w:rsidRPr="00260370">
        <w:rPr>
          <w:rFonts w:asciiTheme="minorHAnsi" w:hAnsiTheme="minorHAnsi"/>
        </w:rPr>
        <w:t>и Северна Македонија, и тоа: 20 организации за поддршка на бизнисот; 2 проектни партнери; 60 мали и средни претпријатија кои работат во секторот преработувачка индустрија (прехранбена индустрија, преработка на дрво, преработка на метал, хемиски производи, текстил, облека, преработка на кожа и производство на обувки) и 30 социо-економски партнери (национални, регионални и локални власти, даватели на деловни услуги, образовни и истражувачки институции итн.).</w:t>
      </w:r>
    </w:p>
    <w:p w14:paraId="456F714D" w14:textId="77777777" w:rsidR="00A132A7" w:rsidRPr="00260370" w:rsidRDefault="00A132A7" w:rsidP="0006132A">
      <w:pPr>
        <w:tabs>
          <w:tab w:val="left" w:pos="3708"/>
        </w:tabs>
        <w:jc w:val="both"/>
        <w:rPr>
          <w:rFonts w:asciiTheme="minorHAnsi" w:hAnsiTheme="minorHAnsi"/>
        </w:rPr>
      </w:pPr>
    </w:p>
    <w:p w14:paraId="0A33C518" w14:textId="2453FF22" w:rsidR="00A132A7" w:rsidRPr="00260370" w:rsidRDefault="00BB2B69" w:rsidP="0006132A">
      <w:pPr>
        <w:tabs>
          <w:tab w:val="left" w:pos="3708"/>
        </w:tabs>
        <w:jc w:val="both"/>
        <w:rPr>
          <w:rFonts w:asciiTheme="minorHAnsi" w:hAnsiTheme="minorHAnsi"/>
        </w:rPr>
      </w:pPr>
      <w:r w:rsidRPr="00260370">
        <w:rPr>
          <w:rFonts w:asciiTheme="minorHAnsi" w:hAnsiTheme="minorHAnsi"/>
        </w:rPr>
        <w:t>Иако проектот е првенствено наменет за организации за поддршка на бизнисот и за мали и средни претпријатија од производствениот сектор, резултатите од проектот може да ги користат сите заинтересирани за зголемување на ефикасноста на ресурсите и зелената транзиција на бизнисот.</w:t>
      </w:r>
    </w:p>
    <w:p w14:paraId="11953662" w14:textId="77777777" w:rsidR="00A132A7" w:rsidRPr="00260370" w:rsidRDefault="00A132A7" w:rsidP="0006132A">
      <w:pPr>
        <w:tabs>
          <w:tab w:val="left" w:pos="3708"/>
        </w:tabs>
        <w:jc w:val="both"/>
        <w:rPr>
          <w:rFonts w:asciiTheme="minorHAnsi" w:hAnsiTheme="minorHAnsi"/>
        </w:rPr>
      </w:pPr>
    </w:p>
    <w:p w14:paraId="3BD6B9D6" w14:textId="3EB772D2" w:rsidR="00FF7472" w:rsidRPr="00260370" w:rsidRDefault="00BB2B69" w:rsidP="0006132A">
      <w:pPr>
        <w:tabs>
          <w:tab w:val="left" w:pos="3708"/>
        </w:tabs>
        <w:jc w:val="both"/>
      </w:pPr>
      <w:r w:rsidRPr="00260370">
        <w:rPr>
          <w:rFonts w:asciiTheme="minorHAnsi" w:hAnsiTheme="minorHAnsi"/>
        </w:rPr>
        <w:t xml:space="preserve">Планираниот период на реализација на проектот е 18 месеци. </w:t>
      </w:r>
      <w:bookmarkStart w:id="4" w:name="_Hlk191532386"/>
      <w:r w:rsidR="0020519E" w:rsidRPr="00260370">
        <w:t xml:space="preserve">За да се зголеми ефикасноста на ресурсите и да се постигне зелена транзиција во </w:t>
      </w:r>
      <w:r w:rsidR="00CA5999">
        <w:t>С</w:t>
      </w:r>
      <w:r w:rsidR="009E6187">
        <w:rPr>
          <w:lang w:val="mk-MK"/>
        </w:rPr>
        <w:t xml:space="preserve">рбија </w:t>
      </w:r>
      <w:r w:rsidR="0020519E" w:rsidRPr="00260370">
        <w:t>и Северна Македонија, неопходно е стекнување зелени вештини, како и примена на зелени деловни алатки, како и соработка и пренесување на најдобрите зелени практики. Предуслов на оваа патека е развојот на зелени деловни алатки</w:t>
      </w:r>
      <w:r w:rsidR="00FF7472" w:rsidRPr="00260370">
        <w:rPr>
          <w:lang w:val="sr-Latn-RS"/>
        </w:rPr>
        <w:t xml:space="preserve">, а </w:t>
      </w:r>
      <w:r w:rsidR="00FF7472" w:rsidRPr="00260370">
        <w:t>една од алатките е овој Практичен водич за зелено финансирање за мали и средни претпријатија и претприемачи.</w:t>
      </w:r>
    </w:p>
    <w:bookmarkEnd w:id="3"/>
    <w:p w14:paraId="02A534F5" w14:textId="77777777" w:rsidR="00FF7472" w:rsidRPr="00260370" w:rsidRDefault="00FF7472" w:rsidP="0006132A">
      <w:pPr>
        <w:tabs>
          <w:tab w:val="left" w:pos="3708"/>
        </w:tabs>
        <w:jc w:val="both"/>
      </w:pPr>
    </w:p>
    <w:p w14:paraId="127CEA7F" w14:textId="2B65530D" w:rsidR="00FF7472" w:rsidRPr="00260370" w:rsidRDefault="00FF7472" w:rsidP="00FF7472">
      <w:pPr>
        <w:tabs>
          <w:tab w:val="left" w:pos="3708"/>
        </w:tabs>
        <w:jc w:val="both"/>
      </w:pPr>
      <w:r w:rsidRPr="00260370">
        <w:t xml:space="preserve">Практичниот водич за зелено финансирање нуди конкретни информации, чекор-по-чекор инструкции и ресурси кои ќе им помогнат на малите и средните претпријатија и претприемачите да ги надминат предизвиците за </w:t>
      </w:r>
      <w:r w:rsidR="003B7A49">
        <w:t>озеленување</w:t>
      </w:r>
      <w:r w:rsidRPr="00260370">
        <w:t xml:space="preserve"> на нивните бизниси, како и максимално да ги искористат финансиските и стратешките можности што ги нуди зелениот бизнис.</w:t>
      </w:r>
    </w:p>
    <w:p w14:paraId="424ADA2C" w14:textId="77777777" w:rsidR="00D500C8" w:rsidRPr="00D500C8" w:rsidRDefault="00D500C8" w:rsidP="00FF7472">
      <w:pPr>
        <w:tabs>
          <w:tab w:val="left" w:pos="3708"/>
        </w:tabs>
        <w:jc w:val="both"/>
        <w:rPr>
          <w:rFonts w:asciiTheme="minorHAnsi" w:hAnsiTheme="minorHAnsi"/>
          <w:lang w:val="sr-Latn-RS"/>
        </w:rPr>
      </w:pPr>
    </w:p>
    <w:p w14:paraId="6014CDA3" w14:textId="3DF5EE68" w:rsidR="00BB057B" w:rsidRDefault="0072235F" w:rsidP="00BB057B">
      <w:pPr>
        <w:tabs>
          <w:tab w:val="left" w:pos="3708"/>
        </w:tabs>
        <w:jc w:val="both"/>
      </w:pPr>
      <w:r>
        <w:t xml:space="preserve">Практичниот водич за зелени финансии е дизајниран да им помогне на малите и средни претпријатија (МСП) и претприемачите успешно да ги имплементираат зелените деловни решенија во своето работење и да ги искористат предностите на финансиските стимулации достапни во </w:t>
      </w:r>
      <w:r w:rsidR="00CA5999">
        <w:t>Северна Македонија</w:t>
      </w:r>
      <w:r>
        <w:t xml:space="preserve"> и Европа. Водичот претставува конкретни информации и ресурси кои ќе им овозможат да ги надминат предизвиците поврзани со зазеленување на нивните бизниси, како и можностите за максимизирање на можностите за финансирање што ги дава зелената транзиција. Во денешното деловно опкружување, одржливоста повеќе не е само опција, туку клучен фактор за конкурентност и долгорочен раст. Малите и средни претпријатија (МСП) се соочуваат со предизвиците на транзиција кон зелени бизнис модели, но во исто време имаат можност да ги искористат придобивките што ги носи зеленото финансирање.</w:t>
      </w:r>
    </w:p>
    <w:p w14:paraId="1921C647" w14:textId="77777777" w:rsidR="00BB057B" w:rsidRDefault="00BB057B" w:rsidP="00BB057B">
      <w:pPr>
        <w:tabs>
          <w:tab w:val="left" w:pos="3708"/>
        </w:tabs>
        <w:jc w:val="both"/>
      </w:pPr>
    </w:p>
    <w:p w14:paraId="3FC04006" w14:textId="77777777" w:rsidR="00BB057B" w:rsidRDefault="00BB057B" w:rsidP="00BB057B">
      <w:pPr>
        <w:tabs>
          <w:tab w:val="left" w:pos="3708"/>
        </w:tabs>
        <w:jc w:val="both"/>
      </w:pPr>
      <w:r>
        <w:t>Овој водич за зелени финансии е создаден со цел да им обезбеди на малите и средните претпријатија и претприемачите јасни информации за достапните финансиски инструменти кои можат да ги поддржат нивните напори за енергетска ефикасност, намалување на нивното влијание врз животната средина и иновациите на циркуларната економија.</w:t>
      </w:r>
    </w:p>
    <w:p w14:paraId="4D6502CA" w14:textId="77777777" w:rsidR="00BB057B" w:rsidRDefault="00BB057B" w:rsidP="00BB057B">
      <w:pPr>
        <w:tabs>
          <w:tab w:val="left" w:pos="3708"/>
        </w:tabs>
        <w:jc w:val="both"/>
      </w:pPr>
    </w:p>
    <w:p w14:paraId="3728ECB4" w14:textId="77777777" w:rsidR="00BB057B" w:rsidRPr="00260370" w:rsidRDefault="00BB057B" w:rsidP="00BB057B">
      <w:pPr>
        <w:tabs>
          <w:tab w:val="left" w:pos="3708"/>
        </w:tabs>
        <w:jc w:val="both"/>
      </w:pPr>
      <w:r w:rsidRPr="00260370">
        <w:t>Преку разгледување на клучните концепти, принципи и критериуми на зелените финансии, водичот објаснува како компаниите можат да го прилагодат своето работење на новите стандарди за одржливост и да ги искористат можностите за финансирање зелени инвестиции. Исто така, дава увид во практични примери на успешни проекти, овозможувајќи им на претприемачите да ги идентификуваат најдобрите модели за нивната индустрија.</w:t>
      </w:r>
    </w:p>
    <w:p w14:paraId="380D8FC1" w14:textId="77777777" w:rsidR="00BB057B" w:rsidRPr="00260370" w:rsidRDefault="00BB057B" w:rsidP="00BB057B">
      <w:pPr>
        <w:tabs>
          <w:tab w:val="left" w:pos="3708"/>
        </w:tabs>
        <w:jc w:val="both"/>
      </w:pPr>
    </w:p>
    <w:p w14:paraId="70362F19" w14:textId="75D7D565" w:rsidR="00BB057B" w:rsidRDefault="00BB057B" w:rsidP="00BB057B">
      <w:pPr>
        <w:tabs>
          <w:tab w:val="left" w:pos="3708"/>
        </w:tabs>
        <w:jc w:val="both"/>
      </w:pPr>
      <w:r w:rsidRPr="00260370">
        <w:t xml:space="preserve">Посебен акцент е ставен на прегледот на достапните зелени финансиски инструменти во </w:t>
      </w:r>
      <w:r w:rsidR="00CA5999">
        <w:t>Северна Македонија</w:t>
      </w:r>
      <w:r w:rsidRPr="00260370">
        <w:t>, вклучувајќи грантови, субвенции, поволни заеми и други видови поддршка. На овој начин, водичот не само што ги информира, туку и ги мотивира бизнисите да ги искористат можностите што им стојат на располагање за подобрување на нивниот бизнис и зајакнување на нивната конкурентност на пазарот. Овој водич е корисна алатка за сите претприемачи кои сакаат да го направат својот бизнис поодржлив и поотпорен на предизвиците во иднината.</w:t>
      </w:r>
    </w:p>
    <w:p w14:paraId="16DF4233" w14:textId="1EBCC486" w:rsidR="009E6187" w:rsidRDefault="009E6187">
      <w:r>
        <w:br w:type="page"/>
      </w:r>
    </w:p>
    <w:bookmarkEnd w:id="4"/>
    <w:p w14:paraId="6030FD09" w14:textId="52683EE0" w:rsidR="00BB057B" w:rsidRDefault="00BB057B" w:rsidP="00BB057B">
      <w:pPr>
        <w:tabs>
          <w:tab w:val="left" w:pos="3708"/>
        </w:tabs>
        <w:jc w:val="both"/>
        <w:rPr>
          <w:color w:val="76923C" w:themeColor="accent3" w:themeShade="BF"/>
        </w:rPr>
      </w:pPr>
    </w:p>
    <w:p w14:paraId="14644825" w14:textId="29E42B30" w:rsidR="00CB1ACA" w:rsidRPr="005E225C" w:rsidRDefault="00CB1ACA" w:rsidP="00CB1ACA">
      <w:pPr>
        <w:pStyle w:val="Heading1"/>
        <w:spacing w:before="0" w:after="0"/>
        <w:rPr>
          <w:rFonts w:asciiTheme="minorHAnsi" w:hAnsiTheme="minorHAnsi" w:cstheme="minorHAnsi"/>
          <w:b/>
          <w:bCs/>
          <w:color w:val="auto"/>
          <w:sz w:val="22"/>
          <w:szCs w:val="22"/>
        </w:rPr>
      </w:pPr>
      <w:bookmarkStart w:id="5" w:name="_Toc195047163"/>
      <w:r w:rsidRPr="005E225C">
        <w:rPr>
          <w:rFonts w:asciiTheme="minorHAnsi" w:hAnsiTheme="minorHAnsi" w:cstheme="minorHAnsi"/>
          <w:b/>
          <w:bCs/>
          <w:color w:val="auto"/>
          <w:sz w:val="22"/>
          <w:szCs w:val="22"/>
        </w:rPr>
        <w:t>2. Зелено финансирање за малите и средни претпријатија и претприемачи</w:t>
      </w:r>
      <w:bookmarkEnd w:id="5"/>
    </w:p>
    <w:p w14:paraId="5D3A2058" w14:textId="77777777" w:rsidR="00794F40" w:rsidRPr="00425329" w:rsidRDefault="00794F40" w:rsidP="00CB5ECF">
      <w:pPr>
        <w:tabs>
          <w:tab w:val="left" w:pos="3708"/>
        </w:tabs>
        <w:jc w:val="both"/>
      </w:pPr>
    </w:p>
    <w:p w14:paraId="2731DEF7" w14:textId="675A2702" w:rsidR="00C672DD" w:rsidRPr="00BB057B" w:rsidRDefault="00C672DD" w:rsidP="00C672DD">
      <w:pPr>
        <w:tabs>
          <w:tab w:val="left" w:pos="3708"/>
        </w:tabs>
        <w:jc w:val="both"/>
      </w:pPr>
      <w:r w:rsidRPr="00425329">
        <w:t xml:space="preserve">Зелениот бизнис е заложба за спроведување на деловни практики кои ги ублажуваат влијанијата врз животната средина, а во исто време овозможуваат профитабилност на деловниот субјект. Зелениот бизнис е инструмент за постигнување одржлив развој, пред се преку одржливо користење на ресурсите и обновливите извори на енергија, како и намалување на отпадот. Производството и употребата на обновлива енергија се однесува на секој извор на употреблива и обновлива енергија наменета да ги замени изворите на фосилни горива без несакани последици од емисиите на стакленички гасови и други загадувачи кои произлегуваат од согорувањето на фосилните горива. Зелените практики, како што се енергетската ефикасност и намалувањето на отпадот, им овозможуваат на МСП да се прилагодат на глобалното деловно опкружување и да ја зголемат нивната </w:t>
      </w:r>
      <w:r w:rsidR="005B47B8">
        <w:rPr>
          <w:lang w:val="mk-MK"/>
        </w:rPr>
        <w:t>ефикасност</w:t>
      </w:r>
      <w:r w:rsidRPr="00425329">
        <w:t>.</w:t>
      </w:r>
    </w:p>
    <w:p w14:paraId="10D5C9CF" w14:textId="77777777" w:rsidR="007C297F" w:rsidRPr="00425329" w:rsidRDefault="007C297F" w:rsidP="00CB5ECF">
      <w:pPr>
        <w:tabs>
          <w:tab w:val="left" w:pos="3708"/>
        </w:tabs>
        <w:jc w:val="both"/>
      </w:pPr>
    </w:p>
    <w:p w14:paraId="663077B3" w14:textId="7245194D" w:rsidR="00CB1ACA" w:rsidRPr="00AC37BF" w:rsidRDefault="00CB1ACA" w:rsidP="00CB1ACA">
      <w:pPr>
        <w:pStyle w:val="Heading1"/>
        <w:spacing w:before="0" w:after="0"/>
        <w:rPr>
          <w:rFonts w:asciiTheme="minorHAnsi" w:hAnsiTheme="minorHAnsi" w:cstheme="minorHAnsi"/>
          <w:b/>
          <w:color w:val="auto"/>
          <w:sz w:val="22"/>
          <w:szCs w:val="22"/>
          <w:lang w:val="sr-Latn-RS"/>
        </w:rPr>
      </w:pPr>
      <w:bookmarkStart w:id="6" w:name="_Toc195047164"/>
      <w:r w:rsidRPr="00FE15C2">
        <w:rPr>
          <w:rFonts w:asciiTheme="minorHAnsi" w:hAnsiTheme="minorHAnsi" w:cstheme="minorHAnsi"/>
          <w:b/>
          <w:color w:val="auto"/>
          <w:sz w:val="22"/>
          <w:szCs w:val="22"/>
        </w:rPr>
        <w:t xml:space="preserve">2.1 </w:t>
      </w:r>
      <w:r w:rsidR="00AC37BF" w:rsidRPr="00AC37BF">
        <w:rPr>
          <w:rFonts w:asciiTheme="minorHAnsi" w:hAnsiTheme="minorHAnsi" w:cstheme="minorHAnsi"/>
          <w:b/>
          <w:color w:val="auto"/>
          <w:sz w:val="22"/>
          <w:szCs w:val="22"/>
          <w:lang w:val="sr-Latn-RS"/>
        </w:rPr>
        <w:t>Што точно е таканареченото зелено финансирање?</w:t>
      </w:r>
      <w:bookmarkEnd w:id="6"/>
      <w:r w:rsidR="00AC37BF" w:rsidRPr="00AC37BF">
        <w:rPr>
          <w:rFonts w:asciiTheme="minorHAnsi" w:hAnsiTheme="minorHAnsi" w:cstheme="minorHAnsi"/>
          <w:b/>
          <w:color w:val="auto"/>
          <w:sz w:val="22"/>
          <w:szCs w:val="22"/>
          <w:lang w:val="sr-Latn-RS"/>
        </w:rPr>
        <w:t xml:space="preserve"> </w:t>
      </w:r>
    </w:p>
    <w:p w14:paraId="179EA2D6" w14:textId="77777777" w:rsidR="00FE15C2" w:rsidRDefault="00FE15C2" w:rsidP="00FE15C2">
      <w:pPr>
        <w:tabs>
          <w:tab w:val="left" w:pos="3708"/>
        </w:tabs>
        <w:jc w:val="both"/>
      </w:pPr>
    </w:p>
    <w:p w14:paraId="3BD99A20" w14:textId="77777777" w:rsidR="00FE15C2" w:rsidRPr="00BB057B" w:rsidRDefault="00FE15C2" w:rsidP="00FE15C2">
      <w:pPr>
        <w:tabs>
          <w:tab w:val="left" w:pos="3708"/>
        </w:tabs>
        <w:jc w:val="both"/>
      </w:pPr>
      <w:r w:rsidRPr="00BB057B">
        <w:t>Денес се повеќе се користи терминот „зелени финансии“, што означува интеграција на принципите за заштита на животната средина во финансиските одлуки на сите нивоа. Со зголемената свест за ограничената природа на природните ресурси и потребата за нивно одржливо користење, бизнисите и поединците сè повеќе ја препознаваат одговорноста за донесување финансиски одлуки кои ја поддржуваат еколошката рамнотежа. Овој пристап не само што придонесува за заштита на животната средина, туку влијае и на долгорочната економска стабилност и одржливиот развој.</w:t>
      </w:r>
    </w:p>
    <w:p w14:paraId="25FA81D0" w14:textId="77777777" w:rsidR="00FE15C2" w:rsidRPr="00BB057B" w:rsidRDefault="00FE15C2" w:rsidP="00FE15C2">
      <w:pPr>
        <w:tabs>
          <w:tab w:val="left" w:pos="3708"/>
        </w:tabs>
        <w:jc w:val="both"/>
      </w:pPr>
    </w:p>
    <w:p w14:paraId="1652C748" w14:textId="77777777" w:rsidR="00FE15C2" w:rsidRPr="00BB057B" w:rsidRDefault="00FE15C2" w:rsidP="00FE15C2">
      <w:pPr>
        <w:tabs>
          <w:tab w:val="left" w:pos="3708"/>
        </w:tabs>
        <w:jc w:val="both"/>
      </w:pPr>
      <w:r w:rsidRPr="00BB057B">
        <w:t>Зеленото финансирање е процес на распределба на финансиски средства за проекти, производи и иницијативи кои придонесуваат за заштита на животната средина, одржлив развој и енергетска ефикасност. Во бизнис контекст, овој концепт вклучува вклучување на критериумите за животна средина во инвестициските одлуки, деловните модели и стратегиите за раст. Целта на зеленото финансирање е да ги поттикне економските субјекти да го намалат своето влијание врз животната средина, да ги оптимизираат ресурсите и да ја подобрат одржливоста на бизнисот преку различни механизми – од субвенции и поволни заеми до стимулации за користење на обновливи извори на енергија и еколошки технологии.</w:t>
      </w:r>
    </w:p>
    <w:p w14:paraId="3B0D238E" w14:textId="77777777" w:rsidR="00BB057B" w:rsidRDefault="00BB057B" w:rsidP="00FE15C2">
      <w:pPr>
        <w:tabs>
          <w:tab w:val="left" w:pos="3708"/>
        </w:tabs>
        <w:jc w:val="both"/>
      </w:pPr>
    </w:p>
    <w:p w14:paraId="00B3C9E9" w14:textId="6BE87166" w:rsidR="00FE15C2" w:rsidRPr="00BB057B" w:rsidRDefault="00FE15C2" w:rsidP="00FE15C2">
      <w:pPr>
        <w:tabs>
          <w:tab w:val="left" w:pos="3708"/>
        </w:tabs>
        <w:jc w:val="both"/>
      </w:pPr>
      <w:r w:rsidRPr="00BB057B">
        <w:t xml:space="preserve">Во сè поголем број земји, вклучително и </w:t>
      </w:r>
      <w:r w:rsidR="00CA5999">
        <w:t>Северна Македонија</w:t>
      </w:r>
      <w:r w:rsidRPr="00BB057B">
        <w:t>, зголемената свест за потребата од заштита на природните ресурси и намалување на негативното влијание на индустриските активности води кон развој на финансиски инструменти дизајнирани да ги поддржат претприемачите и малите и средни претпријатија (МСП) во транзицијата кон зелена економија.</w:t>
      </w:r>
    </w:p>
    <w:p w14:paraId="02FD60A7" w14:textId="77777777" w:rsidR="00AC37BF" w:rsidRDefault="00AC37BF" w:rsidP="00AC37BF">
      <w:pPr>
        <w:tabs>
          <w:tab w:val="left" w:pos="3708"/>
        </w:tabs>
        <w:jc w:val="both"/>
      </w:pPr>
    </w:p>
    <w:p w14:paraId="4D718949" w14:textId="77777777" w:rsidR="00AC37BF" w:rsidRDefault="00AC37BF" w:rsidP="00AC37BF">
      <w:pPr>
        <w:tabs>
          <w:tab w:val="left" w:pos="3708"/>
        </w:tabs>
        <w:jc w:val="both"/>
      </w:pPr>
      <w:r>
        <w:t>Зеленото финансирање вклучува кредитирање или инвестирање во проекти и мерки кои придонесуваат за намалување на потрошувачката на енергија и други ресурси, а со тоа директно влијае на намалувањето на емисиите на стакленички гасови.</w:t>
      </w:r>
    </w:p>
    <w:p w14:paraId="17AC8C37" w14:textId="77777777" w:rsidR="00AC37BF" w:rsidRDefault="00AC37BF" w:rsidP="00AC37BF">
      <w:pPr>
        <w:tabs>
          <w:tab w:val="left" w:pos="3708"/>
        </w:tabs>
        <w:jc w:val="both"/>
      </w:pPr>
    </w:p>
    <w:p w14:paraId="518BEA87" w14:textId="77777777" w:rsidR="00AC37BF" w:rsidRDefault="00AC37BF" w:rsidP="00AC37BF">
      <w:pPr>
        <w:tabs>
          <w:tab w:val="left" w:pos="3708"/>
        </w:tabs>
        <w:jc w:val="both"/>
      </w:pPr>
      <w:r>
        <w:t>Во пракса, тоа значи инвестирање во енергетска ефикасност, обновливи извори на енергија и други иницијативи кои имаат позитивно влијание врз животната средина, како што се заштита на водата, воздухот и почвата, подобрување на управувањето со отпадот и други одржливи решенија. Низ светот постојат специјализирани таканаречени „зелени банки“ кои се занимаваат исклучиво со ваков тип на кредитирање, но и многу други финансиски институции во своите понуди вклучуваат зелени финансиски производи.</w:t>
      </w:r>
    </w:p>
    <w:p w14:paraId="7FB120FE" w14:textId="77777777" w:rsidR="00AC37BF" w:rsidRDefault="00AC37BF" w:rsidP="00AC37BF">
      <w:pPr>
        <w:tabs>
          <w:tab w:val="left" w:pos="3708"/>
        </w:tabs>
        <w:jc w:val="both"/>
      </w:pPr>
    </w:p>
    <w:p w14:paraId="494BBC50" w14:textId="77777777" w:rsidR="00AC37BF" w:rsidRDefault="00AC37BF" w:rsidP="00AC37BF">
      <w:pPr>
        <w:tabs>
          <w:tab w:val="left" w:pos="3708"/>
        </w:tabs>
        <w:jc w:val="both"/>
      </w:pPr>
      <w:r>
        <w:t>Самиот поим „зелени финансии“ има неколку варијации, па често се среќаваме со изрази како „климатски финансии“, „финансирање за ублажување и адаптација“ или „енергетска ефикасност и финансии за обновливи извори на енергија“. Овие термини се во меѓународна употреба и кај нас сè уште најчесто се користат во нивната оригинална форма.</w:t>
      </w:r>
    </w:p>
    <w:p w14:paraId="798435A1" w14:textId="77777777" w:rsidR="00AC37BF" w:rsidRDefault="00AC37BF" w:rsidP="00AC37BF">
      <w:pPr>
        <w:tabs>
          <w:tab w:val="left" w:pos="3708"/>
        </w:tabs>
        <w:jc w:val="both"/>
      </w:pPr>
    </w:p>
    <w:p w14:paraId="600A6942" w14:textId="77777777" w:rsidR="00AC37BF" w:rsidRDefault="00AC37BF" w:rsidP="00AC37BF">
      <w:pPr>
        <w:tabs>
          <w:tab w:val="left" w:pos="3708"/>
        </w:tabs>
        <w:jc w:val="both"/>
      </w:pPr>
      <w:r>
        <w:t>Зелените финансии се тесно поврзани со глобалните предизвици на климатските промени и играат клучна улога во поттикнувањето на одржливиот развој. Нејзиното значење се зголеми особено по Парискиот договор од 2015 година, кога речиси 200 земји се обврзаа да ги намалат емисиите на јаглерод диоксид во споредба со нивото од 1990 година. Целта на овој договор е да се ограничи зголемувањето на глобалните температури на под 2°C во споредба со прединдустрискиот период, а со тоа да се избегнат најтешките последици од климатските промени.</w:t>
      </w:r>
    </w:p>
    <w:p w14:paraId="0A74E7EA" w14:textId="77777777" w:rsidR="00AC37BF" w:rsidRDefault="00AC37BF" w:rsidP="00AC37BF">
      <w:pPr>
        <w:tabs>
          <w:tab w:val="left" w:pos="3708"/>
        </w:tabs>
        <w:jc w:val="both"/>
      </w:pPr>
    </w:p>
    <w:p w14:paraId="0290EABD" w14:textId="5D555FC0" w:rsidR="00AC37BF" w:rsidRDefault="00AC37BF" w:rsidP="00AC37BF">
      <w:pPr>
        <w:tabs>
          <w:tab w:val="left" w:pos="3708"/>
        </w:tabs>
        <w:jc w:val="both"/>
      </w:pPr>
      <w:r>
        <w:t>За да се постигне оваа цел, неопходни се големи инвестиции во адаптација на климатските промени и мерки за ублажување. Затоа, зелените финансии ќе играат клучна улога во обликувањето на економската и еколошката иднина на планетата во децениите што доаѓаат.</w:t>
      </w:r>
    </w:p>
    <w:p w14:paraId="2F474309" w14:textId="5BE37487" w:rsidR="00AC37BF" w:rsidRDefault="00AC37BF" w:rsidP="00AC37BF">
      <w:pPr>
        <w:tabs>
          <w:tab w:val="left" w:pos="3708"/>
        </w:tabs>
        <w:jc w:val="both"/>
      </w:pPr>
    </w:p>
    <w:p w14:paraId="2514F7DD" w14:textId="37755486" w:rsidR="00AC37BF" w:rsidRPr="00260370" w:rsidRDefault="00AC37BF" w:rsidP="00AC37BF">
      <w:pPr>
        <w:spacing w:before="100" w:beforeAutospacing="1" w:after="100" w:afterAutospacing="1"/>
        <w:rPr>
          <w:rFonts w:cs="Calibri"/>
          <w:b/>
          <w:lang w:eastAsia="en-GB"/>
        </w:rPr>
      </w:pPr>
      <w:r w:rsidRPr="00260370">
        <w:rPr>
          <w:rFonts w:cs="Calibri"/>
          <w:b/>
          <w:lang w:val="sr-Latn-RS" w:eastAsia="en-GB"/>
        </w:rPr>
        <w:t xml:space="preserve">2. </w:t>
      </w:r>
      <w:r w:rsidR="0051320C" w:rsidRPr="00260370">
        <w:rPr>
          <w:rFonts w:cs="Calibri"/>
          <w:b/>
          <w:lang w:eastAsia="en-GB"/>
        </w:rPr>
        <w:t xml:space="preserve">2. Како </w:t>
      </w:r>
      <w:r w:rsidRPr="00260370">
        <w:rPr>
          <w:rFonts w:cs="Calibri"/>
          <w:b/>
          <w:lang w:val="sr-Latn-RS" w:eastAsia="en-GB"/>
        </w:rPr>
        <w:t xml:space="preserve">функционира зеленото финансирање </w:t>
      </w:r>
      <w:r w:rsidR="0051320C" w:rsidRPr="00260370">
        <w:rPr>
          <w:rFonts w:cs="Calibri"/>
          <w:b/>
          <w:lang w:eastAsia="en-GB"/>
        </w:rPr>
        <w:t>во пракса?</w:t>
      </w:r>
      <w:r w:rsidRPr="00260370">
        <w:rPr>
          <w:rStyle w:val="FootnoteReference"/>
          <w:rFonts w:cs="Calibri"/>
          <w:b/>
          <w:lang w:eastAsia="en-GB"/>
        </w:rPr>
        <w:footnoteReference w:id="1"/>
      </w:r>
    </w:p>
    <w:p w14:paraId="05E1E707" w14:textId="77777777" w:rsidR="00221061" w:rsidRPr="003E66DB" w:rsidRDefault="00221061" w:rsidP="00221061">
      <w:pPr>
        <w:spacing w:before="100" w:beforeAutospacing="1" w:after="100" w:afterAutospacing="1"/>
        <w:jc w:val="both"/>
        <w:rPr>
          <w:rFonts w:cs="Calibri"/>
          <w:lang w:eastAsia="en-GB"/>
        </w:rPr>
      </w:pPr>
      <w:r w:rsidRPr="003E66DB">
        <w:rPr>
          <w:rFonts w:cs="Calibri"/>
          <w:lang w:eastAsia="en-GB"/>
        </w:rPr>
        <w:t>Зелените кредити се специјализирани финансиски производи наменети за проекти кои исполнуваат одредени технички критериуми од аспект на енергетска ефикасност и намалување на емисијата на стакленички гасови. Овие критериуми се дефинирани врз основа на прецизни пресметки кои овозможуваат проценка на очекуваните заштеди на енергија и/или намалувањето на емисиите на стакленички гасови.</w:t>
      </w:r>
    </w:p>
    <w:p w14:paraId="7557267E" w14:textId="4AF5FF44" w:rsidR="00221061" w:rsidRPr="003E66DB" w:rsidRDefault="00221061" w:rsidP="00062713">
      <w:pPr>
        <w:spacing w:before="100" w:beforeAutospacing="1" w:after="100" w:afterAutospacing="1"/>
        <w:jc w:val="both"/>
        <w:rPr>
          <w:rFonts w:cs="Calibri"/>
          <w:lang w:eastAsia="en-GB"/>
        </w:rPr>
      </w:pPr>
      <w:r w:rsidRPr="003E66DB">
        <w:rPr>
          <w:rFonts w:cs="Calibri"/>
          <w:lang w:eastAsia="en-GB"/>
        </w:rPr>
        <w:t>За да може инвестицијата да се квалификува за зелен заем, таа мора да обезбеди најмалку 20% заштеда на енергија. Овој штеден праг е индустриски стандард што го применуваат повеќето банки и меѓународни фондови специјализирани за зелено финансирање. Кога станува збор за обновливите извори на енергија, повеќето технологии во оваа област ги исполнуваат барањата за зелено финансирање поради нивната одржлива природа. Во пракса, најчесто финансирани проекти се соларни централи, хидроелектрични централи, ветерни централи, биогасни централи и други објекти кои користат биомаса како извор на енергија.</w:t>
      </w:r>
    </w:p>
    <w:p w14:paraId="2B6CA87C" w14:textId="77777777" w:rsidR="00221061" w:rsidRPr="003E66DB" w:rsidRDefault="00221061" w:rsidP="00221061">
      <w:pPr>
        <w:spacing w:before="100" w:beforeAutospacing="1" w:after="100" w:afterAutospacing="1"/>
        <w:jc w:val="both"/>
        <w:rPr>
          <w:rFonts w:cs="Calibri"/>
          <w:lang w:eastAsia="en-GB"/>
        </w:rPr>
      </w:pPr>
      <w:r w:rsidRPr="003E66DB">
        <w:rPr>
          <w:rFonts w:cs="Calibri"/>
          <w:lang w:eastAsia="en-GB"/>
        </w:rPr>
        <w:t>Покрај инвестициите во енергетска ефикасност и обновливи извори, зеленото финансирање вклучува и проекти насочени кон заштита на природните ресурси, како што се мерки за зачувување на квалитетот на водата, почвата и воздухот, како и подобрување на системите за управување со отпад. Иако овие проекти често немаат едноставни квантитативни показатели за заштеди, општо е прифатено дека тие значително придонесуваат за заштита на животната средина. Добар пример за таков пристап е финансирањето на органското производство, кое промовира одржливо земјоделство и го намалува негативното влијание врз екосистемот.</w:t>
      </w:r>
    </w:p>
    <w:p w14:paraId="02886881" w14:textId="77777777" w:rsidR="00221061" w:rsidRPr="003E66DB" w:rsidRDefault="00221061" w:rsidP="00221061">
      <w:pPr>
        <w:spacing w:before="100" w:beforeAutospacing="1" w:after="100" w:afterAutospacing="1"/>
        <w:jc w:val="both"/>
        <w:rPr>
          <w:rFonts w:cs="Calibri"/>
          <w:lang w:eastAsia="en-GB"/>
        </w:rPr>
      </w:pPr>
      <w:r w:rsidRPr="003E66DB">
        <w:rPr>
          <w:rFonts w:cs="Calibri"/>
          <w:lang w:eastAsia="en-GB"/>
        </w:rPr>
        <w:t>Изворите на финансирање за зелени проекти вклучуваат:</w:t>
      </w:r>
    </w:p>
    <w:p w14:paraId="465CA980" w14:textId="4EF95DF8" w:rsidR="004F5CDA" w:rsidRDefault="00221061" w:rsidP="004F5CDA">
      <w:pPr>
        <w:spacing w:before="100" w:beforeAutospacing="1" w:after="100" w:afterAutospacing="1"/>
        <w:jc w:val="both"/>
        <w:rPr>
          <w:rFonts w:cs="Calibri"/>
          <w:bCs/>
          <w:lang w:val="mk-MK" w:eastAsia="en-GB"/>
        </w:rPr>
      </w:pPr>
      <w:r w:rsidRPr="003E66DB">
        <w:rPr>
          <w:rFonts w:cs="Calibri"/>
          <w:lang w:eastAsia="en-GB"/>
        </w:rPr>
        <w:t xml:space="preserve">• </w:t>
      </w:r>
      <w:r w:rsidRPr="003E66DB">
        <w:rPr>
          <w:rFonts w:cs="Calibri"/>
          <w:lang w:eastAsia="en-GB"/>
        </w:rPr>
        <w:tab/>
      </w:r>
      <w:proofErr w:type="spellStart"/>
      <w:r w:rsidR="004F5CDA" w:rsidRPr="004F5CDA">
        <w:rPr>
          <w:rFonts w:cs="Calibri"/>
          <w:b/>
          <w:bCs/>
          <w:lang w:val="en-US" w:eastAsia="en-GB"/>
        </w:rPr>
        <w:t>Фонд</w:t>
      </w:r>
      <w:proofErr w:type="spellEnd"/>
      <w:r w:rsidR="004F5CDA" w:rsidRPr="004F5CDA">
        <w:rPr>
          <w:rFonts w:cs="Calibri"/>
          <w:b/>
          <w:bCs/>
          <w:lang w:val="en-US" w:eastAsia="en-GB"/>
        </w:rPr>
        <w:t xml:space="preserve"> за </w:t>
      </w:r>
      <w:proofErr w:type="spellStart"/>
      <w:r w:rsidR="004F5CDA" w:rsidRPr="004F5CDA">
        <w:rPr>
          <w:rFonts w:cs="Calibri"/>
          <w:b/>
          <w:bCs/>
          <w:lang w:val="en-US" w:eastAsia="en-GB"/>
        </w:rPr>
        <w:t>иновации</w:t>
      </w:r>
      <w:proofErr w:type="spellEnd"/>
      <w:r w:rsidR="004F5CDA" w:rsidRPr="004F5CDA">
        <w:rPr>
          <w:rFonts w:cs="Calibri"/>
          <w:b/>
          <w:bCs/>
          <w:lang w:val="en-US" w:eastAsia="en-GB"/>
        </w:rPr>
        <w:t xml:space="preserve"> и </w:t>
      </w:r>
      <w:proofErr w:type="spellStart"/>
      <w:r w:rsidR="004F5CDA" w:rsidRPr="004F5CDA">
        <w:rPr>
          <w:rFonts w:cs="Calibri"/>
          <w:b/>
          <w:bCs/>
          <w:lang w:val="en-US" w:eastAsia="en-GB"/>
        </w:rPr>
        <w:t>технолошки</w:t>
      </w:r>
      <w:proofErr w:type="spellEnd"/>
      <w:r w:rsidR="004F5CDA" w:rsidRPr="004F5CDA">
        <w:rPr>
          <w:rFonts w:cs="Calibri"/>
          <w:b/>
          <w:bCs/>
          <w:lang w:val="en-US" w:eastAsia="en-GB"/>
        </w:rPr>
        <w:t xml:space="preserve"> развој (FITR)</w:t>
      </w:r>
      <w:r w:rsidR="004F5CDA">
        <w:rPr>
          <w:rFonts w:cs="Calibri"/>
          <w:b/>
          <w:bCs/>
          <w:lang w:val="en-US" w:eastAsia="en-GB"/>
        </w:rPr>
        <w:t xml:space="preserve"> </w:t>
      </w:r>
      <w:proofErr w:type="spellStart"/>
      <w:r w:rsidR="004F5CDA" w:rsidRPr="004F5CDA">
        <w:rPr>
          <w:rFonts w:cs="Calibri"/>
          <w:bCs/>
          <w:lang w:val="en-US" w:eastAsia="en-GB"/>
        </w:rPr>
        <w:t>Зелени</w:t>
      </w:r>
      <w:proofErr w:type="spellEnd"/>
      <w:r w:rsidR="004F5CDA" w:rsidRPr="004F5CDA">
        <w:rPr>
          <w:rFonts w:cs="Calibri"/>
          <w:bCs/>
          <w:lang w:val="en-US" w:eastAsia="en-GB"/>
        </w:rPr>
        <w:t xml:space="preserve"> </w:t>
      </w:r>
      <w:proofErr w:type="spellStart"/>
      <w:r w:rsidR="004F5CDA" w:rsidRPr="004F5CDA">
        <w:rPr>
          <w:rFonts w:cs="Calibri"/>
          <w:bCs/>
          <w:lang w:val="en-US" w:eastAsia="en-GB"/>
        </w:rPr>
        <w:t>иновации</w:t>
      </w:r>
      <w:proofErr w:type="spellEnd"/>
      <w:r w:rsidR="004F5CDA" w:rsidRPr="004F5CDA">
        <w:rPr>
          <w:rFonts w:cs="Calibri"/>
          <w:bCs/>
          <w:lang w:val="en-US" w:eastAsia="en-GB"/>
        </w:rPr>
        <w:t xml:space="preserve">, </w:t>
      </w:r>
      <w:proofErr w:type="spellStart"/>
      <w:r w:rsidR="004F5CDA" w:rsidRPr="004F5CDA">
        <w:rPr>
          <w:rFonts w:cs="Calibri"/>
          <w:bCs/>
          <w:lang w:val="en-US" w:eastAsia="en-GB"/>
        </w:rPr>
        <w:t>енергетска</w:t>
      </w:r>
      <w:proofErr w:type="spellEnd"/>
      <w:r w:rsidR="004F5CDA" w:rsidRPr="004F5CDA">
        <w:rPr>
          <w:rFonts w:cs="Calibri"/>
          <w:bCs/>
          <w:lang w:val="en-US" w:eastAsia="en-GB"/>
        </w:rPr>
        <w:t xml:space="preserve"> </w:t>
      </w:r>
      <w:proofErr w:type="spellStart"/>
      <w:r w:rsidR="004F5CDA" w:rsidRPr="004F5CDA">
        <w:rPr>
          <w:rFonts w:cs="Calibri"/>
          <w:bCs/>
          <w:lang w:val="en-US" w:eastAsia="en-GB"/>
        </w:rPr>
        <w:t>ефикасност</w:t>
      </w:r>
      <w:proofErr w:type="spellEnd"/>
      <w:r w:rsidR="004F5CDA" w:rsidRPr="004F5CDA">
        <w:rPr>
          <w:rFonts w:cs="Calibri"/>
          <w:bCs/>
          <w:lang w:val="en-US" w:eastAsia="en-GB"/>
        </w:rPr>
        <w:t xml:space="preserve">, </w:t>
      </w:r>
      <w:proofErr w:type="spellStart"/>
      <w:r w:rsidR="004F5CDA" w:rsidRPr="004F5CDA">
        <w:rPr>
          <w:rFonts w:cs="Calibri"/>
          <w:bCs/>
          <w:lang w:val="en-US" w:eastAsia="en-GB"/>
        </w:rPr>
        <w:t>циркуларна</w:t>
      </w:r>
      <w:proofErr w:type="spellEnd"/>
      <w:r w:rsidR="004F5CDA" w:rsidRPr="004F5CDA">
        <w:rPr>
          <w:rFonts w:cs="Calibri"/>
          <w:bCs/>
          <w:lang w:val="en-US" w:eastAsia="en-GB"/>
        </w:rPr>
        <w:t xml:space="preserve"> економија</w:t>
      </w:r>
      <w:r w:rsidR="002F24A5">
        <w:rPr>
          <w:rFonts w:cs="Calibri"/>
          <w:bCs/>
          <w:lang w:val="en-US" w:eastAsia="en-GB"/>
        </w:rPr>
        <w:t xml:space="preserve">. </w:t>
      </w:r>
      <w:r w:rsidR="002F24A5">
        <w:rPr>
          <w:rFonts w:cs="Calibri"/>
          <w:bCs/>
          <w:lang w:val="mk-MK" w:eastAsia="en-GB"/>
        </w:rPr>
        <w:t>Поддршка со г</w:t>
      </w:r>
      <w:proofErr w:type="spellStart"/>
      <w:r w:rsidR="004F5CDA" w:rsidRPr="004F5CDA">
        <w:rPr>
          <w:rFonts w:cs="Calibri"/>
          <w:bCs/>
          <w:lang w:val="en-US" w:eastAsia="en-GB"/>
        </w:rPr>
        <w:t>рантови</w:t>
      </w:r>
      <w:proofErr w:type="spellEnd"/>
      <w:r w:rsidR="004F5CDA" w:rsidRPr="004F5CDA">
        <w:rPr>
          <w:rFonts w:cs="Calibri"/>
          <w:bCs/>
          <w:lang w:val="en-US" w:eastAsia="en-GB"/>
        </w:rPr>
        <w:t xml:space="preserve"> до 70% </w:t>
      </w:r>
      <w:proofErr w:type="spellStart"/>
      <w:r w:rsidR="004F5CDA" w:rsidRPr="004F5CDA">
        <w:rPr>
          <w:rFonts w:cs="Calibri"/>
          <w:bCs/>
          <w:lang w:val="en-US" w:eastAsia="en-GB"/>
        </w:rPr>
        <w:t>кофинансирање</w:t>
      </w:r>
      <w:proofErr w:type="spellEnd"/>
      <w:r w:rsidR="002F24A5">
        <w:rPr>
          <w:rFonts w:cs="Calibri"/>
          <w:bCs/>
          <w:lang w:val="mk-MK" w:eastAsia="en-GB"/>
        </w:rPr>
        <w:t xml:space="preserve"> </w:t>
      </w:r>
    </w:p>
    <w:p w14:paraId="32A3ACE2" w14:textId="4ACF3D0E" w:rsidR="00C30C4F" w:rsidRPr="004F5CDA" w:rsidRDefault="00221061" w:rsidP="00C30C4F">
      <w:pPr>
        <w:spacing w:before="100" w:beforeAutospacing="1" w:after="100" w:afterAutospacing="1"/>
        <w:jc w:val="both"/>
        <w:rPr>
          <w:rFonts w:cs="Calibri"/>
          <w:b/>
          <w:lang w:val="en-US" w:eastAsia="en-GB"/>
        </w:rPr>
      </w:pPr>
      <w:r w:rsidRPr="003E66DB">
        <w:rPr>
          <w:rFonts w:cs="Calibri"/>
          <w:lang w:eastAsia="en-GB"/>
        </w:rPr>
        <w:t xml:space="preserve">• </w:t>
      </w:r>
      <w:r w:rsidRPr="003E66DB">
        <w:rPr>
          <w:rFonts w:cs="Calibri"/>
          <w:lang w:eastAsia="en-GB"/>
        </w:rPr>
        <w:tab/>
      </w:r>
      <w:r w:rsidR="00C30C4F" w:rsidRPr="006E5952">
        <w:rPr>
          <w:rFonts w:cs="Calibri"/>
          <w:b/>
          <w:lang w:val="en-US" w:eastAsia="en-GB"/>
        </w:rPr>
        <w:t>GEFF - Green Economy Financing Facility (EBRD)</w:t>
      </w:r>
      <w:r w:rsidR="00C30C4F">
        <w:rPr>
          <w:rFonts w:cs="Calibri"/>
          <w:b/>
          <w:lang w:val="mk-MK" w:eastAsia="en-GB"/>
        </w:rPr>
        <w:t xml:space="preserve"> </w:t>
      </w:r>
      <w:r w:rsidR="00C30C4F">
        <w:rPr>
          <w:rFonts w:cs="Calibri"/>
          <w:bCs/>
          <w:lang w:val="mk-MK" w:eastAsia="en-GB"/>
        </w:rPr>
        <w:t>Овозможува компонента на з</w:t>
      </w:r>
      <w:proofErr w:type="spellStart"/>
      <w:r w:rsidR="00C30C4F" w:rsidRPr="00C30C4F">
        <w:rPr>
          <w:rFonts w:cs="Calibri"/>
          <w:bCs/>
          <w:lang w:val="en-US" w:eastAsia="en-GB"/>
        </w:rPr>
        <w:t>елени</w:t>
      </w:r>
      <w:proofErr w:type="spellEnd"/>
      <w:r w:rsidR="00C30C4F" w:rsidRPr="00C30C4F">
        <w:rPr>
          <w:rFonts w:cs="Calibri"/>
          <w:bCs/>
          <w:lang w:val="en-US" w:eastAsia="en-GB"/>
        </w:rPr>
        <w:t xml:space="preserve"> </w:t>
      </w:r>
      <w:proofErr w:type="spellStart"/>
      <w:r w:rsidR="00C30C4F" w:rsidRPr="00C30C4F">
        <w:rPr>
          <w:rFonts w:cs="Calibri"/>
          <w:bCs/>
          <w:lang w:val="en-US" w:eastAsia="en-GB"/>
        </w:rPr>
        <w:t>кредити</w:t>
      </w:r>
      <w:proofErr w:type="spellEnd"/>
      <w:r w:rsidR="00C30C4F" w:rsidRPr="00C30C4F">
        <w:rPr>
          <w:rFonts w:cs="Calibri"/>
          <w:bCs/>
          <w:lang w:val="en-US" w:eastAsia="en-GB"/>
        </w:rPr>
        <w:t xml:space="preserve"> </w:t>
      </w:r>
      <w:r w:rsidR="00C30C4F">
        <w:rPr>
          <w:rFonts w:cs="Calibri"/>
          <w:bCs/>
          <w:lang w:val="mk-MK" w:eastAsia="en-GB"/>
        </w:rPr>
        <w:t>плус</w:t>
      </w:r>
      <w:r w:rsidR="00C30C4F" w:rsidRPr="00C30C4F">
        <w:rPr>
          <w:rFonts w:cs="Calibri"/>
          <w:bCs/>
          <w:lang w:val="en-US" w:eastAsia="en-GB"/>
        </w:rPr>
        <w:t xml:space="preserve"> </w:t>
      </w:r>
      <w:proofErr w:type="spellStart"/>
      <w:r w:rsidR="00C30C4F" w:rsidRPr="00C30C4F">
        <w:rPr>
          <w:rFonts w:cs="Calibri"/>
          <w:bCs/>
          <w:lang w:val="en-US" w:eastAsia="en-GB"/>
        </w:rPr>
        <w:t>грант</w:t>
      </w:r>
      <w:proofErr w:type="spellEnd"/>
      <w:r w:rsidR="00C30C4F" w:rsidRPr="00C30C4F">
        <w:rPr>
          <w:rFonts w:cs="Calibri"/>
          <w:bCs/>
          <w:lang w:val="en-US" w:eastAsia="en-GB"/>
        </w:rPr>
        <w:t xml:space="preserve"> </w:t>
      </w:r>
      <w:proofErr w:type="spellStart"/>
      <w:r w:rsidR="00C30C4F" w:rsidRPr="00C30C4F">
        <w:rPr>
          <w:rFonts w:cs="Calibri"/>
          <w:bCs/>
          <w:lang w:val="en-US" w:eastAsia="en-GB"/>
        </w:rPr>
        <w:t>компонента</w:t>
      </w:r>
      <w:proofErr w:type="spellEnd"/>
      <w:r w:rsidR="00EF5C4B">
        <w:rPr>
          <w:rFonts w:cs="Calibri"/>
          <w:bCs/>
          <w:lang w:val="mk-MK" w:eastAsia="en-GB"/>
        </w:rPr>
        <w:t xml:space="preserve"> -</w:t>
      </w:r>
      <w:r w:rsidR="00C30C4F" w:rsidRPr="00C30C4F">
        <w:rPr>
          <w:rFonts w:cs="Calibri"/>
          <w:bCs/>
          <w:lang w:val="mk-MK" w:eastAsia="en-GB"/>
        </w:rPr>
        <w:t xml:space="preserve"> </w:t>
      </w:r>
      <w:r w:rsidR="00C30C4F" w:rsidRPr="00C30C4F">
        <w:rPr>
          <w:rFonts w:cs="Calibri"/>
          <w:bCs/>
          <w:lang w:val="en-US" w:eastAsia="en-GB"/>
        </w:rPr>
        <w:t>https://ebrdgeff.com/macedonia/</w:t>
      </w:r>
    </w:p>
    <w:p w14:paraId="1F8FEC5B" w14:textId="5862FC04" w:rsidR="00221061" w:rsidRDefault="00221061" w:rsidP="00EF5C4B">
      <w:pPr>
        <w:spacing w:before="100" w:beforeAutospacing="1" w:after="100" w:afterAutospacing="1"/>
        <w:jc w:val="both"/>
        <w:rPr>
          <w:rFonts w:cs="Calibri"/>
          <w:b/>
          <w:lang w:val="mk-MK" w:eastAsia="en-GB"/>
        </w:rPr>
      </w:pPr>
      <w:r w:rsidRPr="003E66DB">
        <w:rPr>
          <w:rFonts w:cs="Calibri"/>
          <w:lang w:eastAsia="en-GB"/>
        </w:rPr>
        <w:t xml:space="preserve">• </w:t>
      </w:r>
      <w:r w:rsidRPr="003E66DB">
        <w:rPr>
          <w:rFonts w:cs="Calibri"/>
          <w:lang w:eastAsia="en-GB"/>
        </w:rPr>
        <w:tab/>
      </w:r>
      <w:r w:rsidR="00EF5C4B" w:rsidRPr="00EF5C4B">
        <w:rPr>
          <w:rFonts w:cs="Calibri"/>
          <w:b/>
          <w:lang w:eastAsia="en-GB"/>
        </w:rPr>
        <w:t>EBRD Go Green &amp; SME Competitiveness</w:t>
      </w:r>
      <w:r w:rsidR="00EF5C4B">
        <w:rPr>
          <w:rFonts w:cs="Calibri"/>
          <w:b/>
          <w:lang w:val="mk-MK" w:eastAsia="en-GB"/>
        </w:rPr>
        <w:t xml:space="preserve"> </w:t>
      </w:r>
      <w:r w:rsidR="00EF5C4B" w:rsidRPr="00345BDF">
        <w:rPr>
          <w:rFonts w:cs="Calibri"/>
          <w:bCs/>
          <w:lang w:val="mk-MK" w:eastAsia="en-GB"/>
        </w:rPr>
        <w:t xml:space="preserve">Поддршка преку </w:t>
      </w:r>
      <w:r w:rsidR="00EF5C4B" w:rsidRPr="00345BDF">
        <w:rPr>
          <w:rFonts w:cs="Calibri"/>
          <w:bCs/>
          <w:lang w:eastAsia="en-GB"/>
        </w:rPr>
        <w:t xml:space="preserve">Зелени заеми </w:t>
      </w:r>
      <w:r w:rsidR="00C0231E" w:rsidRPr="00345BDF">
        <w:rPr>
          <w:rFonts w:cs="Calibri"/>
          <w:bCs/>
          <w:lang w:val="mk-MK" w:eastAsia="en-GB"/>
        </w:rPr>
        <w:t xml:space="preserve"> плус </w:t>
      </w:r>
      <w:r w:rsidR="00EF5C4B" w:rsidRPr="00345BDF">
        <w:rPr>
          <w:rFonts w:cs="Calibri"/>
          <w:bCs/>
          <w:lang w:eastAsia="en-GB"/>
        </w:rPr>
        <w:t xml:space="preserve"> грантови 10%-15%</w:t>
      </w:r>
      <w:r w:rsidR="00C0231E" w:rsidRPr="00345BDF">
        <w:rPr>
          <w:rFonts w:cs="Calibri"/>
          <w:bCs/>
          <w:lang w:val="mk-MK" w:eastAsia="en-GB"/>
        </w:rPr>
        <w:t xml:space="preserve"> компонента  - </w:t>
      </w:r>
      <w:hyperlink r:id="rId8" w:history="1">
        <w:r w:rsidR="002E3769" w:rsidRPr="00345BDF">
          <w:rPr>
            <w:rStyle w:val="Hyperlink"/>
            <w:rFonts w:cs="Calibri"/>
            <w:bCs/>
            <w:lang w:eastAsia="en-GB"/>
          </w:rPr>
          <w:t>https://web-sme-csp.com/macedonia/</w:t>
        </w:r>
      </w:hyperlink>
    </w:p>
    <w:p w14:paraId="7D01734D" w14:textId="5C25FE48" w:rsidR="002E3769" w:rsidRPr="002E3769" w:rsidRDefault="002E3769" w:rsidP="003116FE">
      <w:pPr>
        <w:pStyle w:val="ListParagraph"/>
        <w:numPr>
          <w:ilvl w:val="0"/>
          <w:numId w:val="1"/>
        </w:numPr>
        <w:spacing w:before="100" w:beforeAutospacing="1" w:after="100" w:afterAutospacing="1"/>
        <w:ind w:left="0" w:firstLine="0"/>
        <w:jc w:val="both"/>
        <w:rPr>
          <w:rFonts w:cs="Calibri"/>
          <w:b/>
          <w:bCs/>
          <w:lang w:val="en-US" w:eastAsia="en-GB"/>
        </w:rPr>
      </w:pPr>
      <w:r>
        <w:rPr>
          <w:rFonts w:cs="Calibri"/>
          <w:b/>
          <w:bCs/>
          <w:lang w:val="mk-MK" w:eastAsia="en-GB"/>
        </w:rPr>
        <w:t xml:space="preserve"> </w:t>
      </w:r>
      <w:r w:rsidRPr="002E3769">
        <w:rPr>
          <w:rFonts w:cs="Calibri"/>
          <w:b/>
          <w:bCs/>
          <w:lang w:val="en-US" w:eastAsia="en-GB"/>
        </w:rPr>
        <w:t>Green for Growth Fund (GGF)</w:t>
      </w:r>
      <w:r w:rsidR="003116FE">
        <w:rPr>
          <w:rFonts w:cs="Calibri"/>
          <w:b/>
          <w:bCs/>
          <w:lang w:val="mk-MK" w:eastAsia="en-GB"/>
        </w:rPr>
        <w:t xml:space="preserve"> </w:t>
      </w:r>
      <w:r w:rsidR="003116FE">
        <w:rPr>
          <w:rFonts w:cs="Calibri"/>
          <w:lang w:val="mk-MK" w:eastAsia="en-GB"/>
        </w:rPr>
        <w:t xml:space="preserve">Поддршка за </w:t>
      </w:r>
      <w:proofErr w:type="spellStart"/>
      <w:r w:rsidRPr="002E3769">
        <w:rPr>
          <w:rFonts w:cs="Calibri"/>
          <w:lang w:val="en-US" w:eastAsia="en-GB"/>
        </w:rPr>
        <w:t>Енергетска</w:t>
      </w:r>
      <w:proofErr w:type="spellEnd"/>
      <w:r w:rsidRPr="002E3769">
        <w:rPr>
          <w:rFonts w:cs="Calibri"/>
          <w:lang w:val="en-US" w:eastAsia="en-GB"/>
        </w:rPr>
        <w:t xml:space="preserve"> </w:t>
      </w:r>
      <w:proofErr w:type="spellStart"/>
      <w:r w:rsidRPr="002E3769">
        <w:rPr>
          <w:rFonts w:cs="Calibri"/>
          <w:lang w:val="en-US" w:eastAsia="en-GB"/>
        </w:rPr>
        <w:t>ефикасност</w:t>
      </w:r>
      <w:proofErr w:type="spellEnd"/>
      <w:r w:rsidRPr="002E3769">
        <w:rPr>
          <w:rFonts w:cs="Calibri"/>
          <w:lang w:val="en-US" w:eastAsia="en-GB"/>
        </w:rPr>
        <w:t xml:space="preserve"> и </w:t>
      </w:r>
      <w:proofErr w:type="spellStart"/>
      <w:r w:rsidRPr="002E3769">
        <w:rPr>
          <w:rFonts w:cs="Calibri"/>
          <w:lang w:val="en-US" w:eastAsia="en-GB"/>
        </w:rPr>
        <w:t>одржливост</w:t>
      </w:r>
      <w:proofErr w:type="spellEnd"/>
      <w:r w:rsidR="003116FE">
        <w:rPr>
          <w:rFonts w:cs="Calibri"/>
          <w:b/>
          <w:bCs/>
          <w:lang w:val="mk-MK" w:eastAsia="en-GB"/>
        </w:rPr>
        <w:t xml:space="preserve"> -</w:t>
      </w:r>
      <w:r w:rsidRPr="002E3769">
        <w:rPr>
          <w:rFonts w:cs="Calibri"/>
          <w:lang w:val="en-US" w:eastAsia="en-GB"/>
        </w:rPr>
        <w:t>https://www.ggf.lu/</w:t>
      </w:r>
    </w:p>
    <w:p w14:paraId="716B93B6" w14:textId="3EFD5EE7" w:rsidR="002E3769" w:rsidRPr="002E3769" w:rsidRDefault="002E3769" w:rsidP="003116FE">
      <w:pPr>
        <w:pStyle w:val="ListParagraph"/>
        <w:numPr>
          <w:ilvl w:val="0"/>
          <w:numId w:val="1"/>
        </w:numPr>
        <w:spacing w:before="100" w:beforeAutospacing="1" w:after="100" w:afterAutospacing="1"/>
        <w:ind w:left="0" w:firstLine="0"/>
        <w:jc w:val="both"/>
        <w:rPr>
          <w:rFonts w:cs="Calibri"/>
          <w:b/>
          <w:bCs/>
          <w:lang w:val="en-US" w:eastAsia="en-GB"/>
        </w:rPr>
      </w:pPr>
      <w:proofErr w:type="spellStart"/>
      <w:r w:rsidRPr="002E3769">
        <w:rPr>
          <w:rFonts w:cs="Calibri"/>
          <w:b/>
          <w:bCs/>
          <w:lang w:val="en-US" w:eastAsia="en-GB"/>
        </w:rPr>
        <w:t>Развојна</w:t>
      </w:r>
      <w:proofErr w:type="spellEnd"/>
      <w:r w:rsidRPr="002E3769">
        <w:rPr>
          <w:rFonts w:cs="Calibri"/>
          <w:b/>
          <w:bCs/>
          <w:lang w:val="en-US" w:eastAsia="en-GB"/>
        </w:rPr>
        <w:t xml:space="preserve"> Банка на </w:t>
      </w:r>
      <w:proofErr w:type="spellStart"/>
      <w:r w:rsidRPr="002E3769">
        <w:rPr>
          <w:rFonts w:cs="Calibri"/>
          <w:b/>
          <w:bCs/>
          <w:lang w:val="en-US" w:eastAsia="en-GB"/>
        </w:rPr>
        <w:t>Северна</w:t>
      </w:r>
      <w:proofErr w:type="spellEnd"/>
      <w:r w:rsidRPr="002E3769">
        <w:rPr>
          <w:rFonts w:cs="Calibri"/>
          <w:b/>
          <w:bCs/>
          <w:lang w:val="en-US" w:eastAsia="en-GB"/>
        </w:rPr>
        <w:t xml:space="preserve"> </w:t>
      </w:r>
      <w:proofErr w:type="spellStart"/>
      <w:r w:rsidRPr="002E3769">
        <w:rPr>
          <w:rFonts w:cs="Calibri"/>
          <w:b/>
          <w:bCs/>
          <w:lang w:val="en-US" w:eastAsia="en-GB"/>
        </w:rPr>
        <w:t>Македонија</w:t>
      </w:r>
      <w:proofErr w:type="spellEnd"/>
      <w:r w:rsidR="003116FE">
        <w:rPr>
          <w:rFonts w:cs="Calibri"/>
          <w:b/>
          <w:bCs/>
          <w:lang w:val="mk-MK" w:eastAsia="en-GB"/>
        </w:rPr>
        <w:t xml:space="preserve"> </w:t>
      </w:r>
      <w:r w:rsidRPr="002E3769">
        <w:rPr>
          <w:rFonts w:cs="Calibri"/>
          <w:lang w:val="en-US" w:eastAsia="en-GB"/>
        </w:rPr>
        <w:t>Поддршка</w:t>
      </w:r>
      <w:r w:rsidR="003116FE" w:rsidRPr="00345BDF">
        <w:rPr>
          <w:rFonts w:cs="Calibri"/>
          <w:lang w:val="mk-MK" w:eastAsia="en-GB"/>
        </w:rPr>
        <w:t xml:space="preserve"> за </w:t>
      </w:r>
      <w:proofErr w:type="spellStart"/>
      <w:r w:rsidRPr="002E3769">
        <w:rPr>
          <w:rFonts w:cs="Calibri"/>
          <w:lang w:val="en-US" w:eastAsia="en-GB"/>
        </w:rPr>
        <w:t>Енергетска</w:t>
      </w:r>
      <w:proofErr w:type="spellEnd"/>
      <w:r w:rsidRPr="002E3769">
        <w:rPr>
          <w:rFonts w:cs="Calibri"/>
          <w:lang w:val="en-US" w:eastAsia="en-GB"/>
        </w:rPr>
        <w:t xml:space="preserve"> </w:t>
      </w:r>
      <w:proofErr w:type="spellStart"/>
      <w:r w:rsidRPr="002E3769">
        <w:rPr>
          <w:rFonts w:cs="Calibri"/>
          <w:lang w:val="en-US" w:eastAsia="en-GB"/>
        </w:rPr>
        <w:t>ефикасност</w:t>
      </w:r>
      <w:proofErr w:type="spellEnd"/>
      <w:r w:rsidRPr="002E3769">
        <w:rPr>
          <w:rFonts w:cs="Calibri"/>
          <w:lang w:val="en-US" w:eastAsia="en-GB"/>
        </w:rPr>
        <w:t xml:space="preserve">, </w:t>
      </w:r>
      <w:proofErr w:type="spellStart"/>
      <w:r w:rsidRPr="002E3769">
        <w:rPr>
          <w:rFonts w:cs="Calibri"/>
          <w:lang w:val="en-US" w:eastAsia="en-GB"/>
        </w:rPr>
        <w:t>технолошка</w:t>
      </w:r>
      <w:proofErr w:type="spellEnd"/>
      <w:r w:rsidRPr="002E3769">
        <w:rPr>
          <w:rFonts w:cs="Calibri"/>
          <w:lang w:val="en-US" w:eastAsia="en-GB"/>
        </w:rPr>
        <w:t xml:space="preserve"> </w:t>
      </w:r>
      <w:proofErr w:type="spellStart"/>
      <w:r w:rsidRPr="002E3769">
        <w:rPr>
          <w:rFonts w:cs="Calibri"/>
          <w:lang w:val="en-US" w:eastAsia="en-GB"/>
        </w:rPr>
        <w:t>модернизациј</w:t>
      </w:r>
      <w:proofErr w:type="spellEnd"/>
      <w:r w:rsidR="003116FE" w:rsidRPr="00345BDF">
        <w:rPr>
          <w:rFonts w:cs="Calibri"/>
          <w:lang w:val="mk-MK" w:eastAsia="en-GB"/>
        </w:rPr>
        <w:t>а</w:t>
      </w:r>
      <w:proofErr w:type="gramStart"/>
      <w:r w:rsidR="003116FE" w:rsidRPr="00345BDF">
        <w:rPr>
          <w:rFonts w:cs="Calibri"/>
          <w:lang w:val="mk-MK" w:eastAsia="en-GB"/>
        </w:rPr>
        <w:t xml:space="preserve">- </w:t>
      </w:r>
      <w:r w:rsidRPr="002E3769">
        <w:rPr>
          <w:rFonts w:cs="Calibri"/>
          <w:lang w:val="en-US" w:eastAsia="en-GB"/>
        </w:rPr>
        <w:t xml:space="preserve"> https://mbdp.com.mk</w:t>
      </w:r>
      <w:proofErr w:type="gramEnd"/>
    </w:p>
    <w:p w14:paraId="23D7D6A7" w14:textId="4F299E61" w:rsidR="002E3769" w:rsidRPr="002E3769" w:rsidRDefault="002E3769" w:rsidP="00345BDF">
      <w:pPr>
        <w:pStyle w:val="ListParagraph"/>
        <w:numPr>
          <w:ilvl w:val="0"/>
          <w:numId w:val="1"/>
        </w:numPr>
        <w:spacing w:before="100" w:beforeAutospacing="1" w:after="100" w:afterAutospacing="1"/>
        <w:ind w:left="0" w:firstLine="0"/>
        <w:jc w:val="both"/>
        <w:rPr>
          <w:rFonts w:cs="Calibri"/>
          <w:b/>
          <w:bCs/>
          <w:lang w:val="en-US" w:eastAsia="en-GB"/>
        </w:rPr>
      </w:pPr>
      <w:r w:rsidRPr="002E3769">
        <w:rPr>
          <w:rFonts w:cs="Calibri"/>
          <w:b/>
          <w:bCs/>
          <w:lang w:val="en-US" w:eastAsia="en-GB"/>
        </w:rPr>
        <w:t xml:space="preserve">EFSE </w:t>
      </w:r>
      <w:proofErr w:type="spellStart"/>
      <w:r w:rsidRPr="002E3769">
        <w:rPr>
          <w:rFonts w:cs="Calibri"/>
          <w:b/>
          <w:bCs/>
          <w:lang w:val="en-US" w:eastAsia="en-GB"/>
        </w:rPr>
        <w:t>Микро-финансиски</w:t>
      </w:r>
      <w:proofErr w:type="spellEnd"/>
      <w:r w:rsidRPr="002E3769">
        <w:rPr>
          <w:rFonts w:cs="Calibri"/>
          <w:b/>
          <w:bCs/>
          <w:lang w:val="en-US" w:eastAsia="en-GB"/>
        </w:rPr>
        <w:t xml:space="preserve"> </w:t>
      </w:r>
      <w:proofErr w:type="spellStart"/>
      <w:r w:rsidRPr="002E3769">
        <w:rPr>
          <w:rFonts w:cs="Calibri"/>
          <w:b/>
          <w:bCs/>
          <w:lang w:val="en-US" w:eastAsia="en-GB"/>
        </w:rPr>
        <w:t>Фонд</w:t>
      </w:r>
      <w:proofErr w:type="spellEnd"/>
      <w:r w:rsidR="00345BDF">
        <w:rPr>
          <w:rFonts w:cs="Calibri"/>
          <w:b/>
          <w:bCs/>
          <w:lang w:val="mk-MK" w:eastAsia="en-GB"/>
        </w:rPr>
        <w:t xml:space="preserve"> </w:t>
      </w:r>
      <w:r w:rsidR="00345BDF" w:rsidRPr="00345BDF">
        <w:rPr>
          <w:rFonts w:cs="Calibri"/>
          <w:lang w:val="mk-MK" w:eastAsia="en-GB"/>
        </w:rPr>
        <w:t xml:space="preserve">- </w:t>
      </w:r>
      <w:proofErr w:type="spellStart"/>
      <w:r w:rsidRPr="002E3769">
        <w:rPr>
          <w:rFonts w:cs="Calibri"/>
          <w:lang w:val="en-US" w:eastAsia="en-GB"/>
        </w:rPr>
        <w:t>Зелени</w:t>
      </w:r>
      <w:proofErr w:type="spellEnd"/>
      <w:r w:rsidRPr="002E3769">
        <w:rPr>
          <w:rFonts w:cs="Calibri"/>
          <w:lang w:val="en-US" w:eastAsia="en-GB"/>
        </w:rPr>
        <w:t xml:space="preserve"> </w:t>
      </w:r>
      <w:proofErr w:type="spellStart"/>
      <w:r w:rsidRPr="002E3769">
        <w:rPr>
          <w:rFonts w:cs="Calibri"/>
          <w:lang w:val="en-US" w:eastAsia="en-GB"/>
        </w:rPr>
        <w:t>заеми</w:t>
      </w:r>
      <w:proofErr w:type="spellEnd"/>
      <w:r w:rsidRPr="002E3769">
        <w:rPr>
          <w:rFonts w:cs="Calibri"/>
          <w:lang w:val="en-US" w:eastAsia="en-GB"/>
        </w:rPr>
        <w:t xml:space="preserve"> за </w:t>
      </w:r>
      <w:proofErr w:type="spellStart"/>
      <w:r w:rsidRPr="002E3769">
        <w:rPr>
          <w:rFonts w:cs="Calibri"/>
          <w:lang w:val="en-US" w:eastAsia="en-GB"/>
        </w:rPr>
        <w:t>микро</w:t>
      </w:r>
      <w:proofErr w:type="spellEnd"/>
      <w:r w:rsidRPr="002E3769">
        <w:rPr>
          <w:rFonts w:cs="Calibri"/>
          <w:lang w:val="en-US" w:eastAsia="en-GB"/>
        </w:rPr>
        <w:t xml:space="preserve"> и </w:t>
      </w:r>
      <w:proofErr w:type="spellStart"/>
      <w:r w:rsidRPr="002E3769">
        <w:rPr>
          <w:rFonts w:cs="Calibri"/>
          <w:lang w:val="en-US" w:eastAsia="en-GB"/>
        </w:rPr>
        <w:t>мали</w:t>
      </w:r>
      <w:proofErr w:type="spellEnd"/>
      <w:r w:rsidRPr="002E3769">
        <w:rPr>
          <w:rFonts w:cs="Calibri"/>
          <w:lang w:val="en-US" w:eastAsia="en-GB"/>
        </w:rPr>
        <w:t xml:space="preserve"> претпријатија</w:t>
      </w:r>
      <w:r w:rsidR="00345BDF" w:rsidRPr="00345BDF">
        <w:rPr>
          <w:rFonts w:cs="Calibri"/>
          <w:lang w:val="mk-MK" w:eastAsia="en-GB"/>
        </w:rPr>
        <w:t xml:space="preserve"> </w:t>
      </w:r>
      <w:proofErr w:type="gramStart"/>
      <w:r w:rsidR="00345BDF" w:rsidRPr="00345BDF">
        <w:rPr>
          <w:rFonts w:cs="Calibri"/>
          <w:lang w:val="mk-MK" w:eastAsia="en-GB"/>
        </w:rPr>
        <w:t xml:space="preserve">- </w:t>
      </w:r>
      <w:r w:rsidRPr="002E3769">
        <w:rPr>
          <w:rFonts w:cs="Calibri"/>
          <w:lang w:val="en-US" w:eastAsia="en-GB"/>
        </w:rPr>
        <w:t xml:space="preserve"> https://www.efse.lu/</w:t>
      </w:r>
      <w:proofErr w:type="gramEnd"/>
    </w:p>
    <w:p w14:paraId="514DA28F" w14:textId="5FAFECC2" w:rsidR="002E3769" w:rsidRPr="002E3769" w:rsidRDefault="002E3769" w:rsidP="00345BDF">
      <w:pPr>
        <w:pStyle w:val="ListParagraph"/>
        <w:numPr>
          <w:ilvl w:val="0"/>
          <w:numId w:val="1"/>
        </w:numPr>
        <w:spacing w:before="100" w:beforeAutospacing="1" w:after="100" w:afterAutospacing="1"/>
        <w:ind w:left="0" w:firstLine="0"/>
        <w:jc w:val="both"/>
        <w:rPr>
          <w:rFonts w:cs="Calibri"/>
          <w:b/>
          <w:bCs/>
          <w:lang w:val="en-US" w:eastAsia="en-GB"/>
        </w:rPr>
      </w:pPr>
      <w:r w:rsidRPr="002E3769">
        <w:rPr>
          <w:rFonts w:cs="Calibri"/>
          <w:b/>
          <w:bCs/>
          <w:lang w:val="en-US" w:eastAsia="en-GB"/>
        </w:rPr>
        <w:t>Enterprise Europe Network (</w:t>
      </w:r>
      <w:proofErr w:type="gramStart"/>
      <w:r w:rsidRPr="002E3769">
        <w:rPr>
          <w:rFonts w:cs="Calibri"/>
          <w:b/>
          <w:bCs/>
          <w:lang w:val="en-US" w:eastAsia="en-GB"/>
        </w:rPr>
        <w:t>EEN)</w:t>
      </w:r>
      <w:r w:rsidR="00345BDF">
        <w:rPr>
          <w:rFonts w:cs="Calibri"/>
          <w:b/>
          <w:bCs/>
          <w:lang w:val="mk-MK" w:eastAsia="en-GB"/>
        </w:rPr>
        <w:t xml:space="preserve">  -</w:t>
      </w:r>
      <w:proofErr w:type="gramEnd"/>
      <w:r w:rsidR="00345BDF" w:rsidRPr="00345BDF">
        <w:rPr>
          <w:rFonts w:cs="Calibri"/>
          <w:lang w:val="mk-MK" w:eastAsia="en-GB"/>
        </w:rPr>
        <w:t xml:space="preserve"> </w:t>
      </w:r>
      <w:r w:rsidRPr="002E3769">
        <w:rPr>
          <w:rFonts w:cs="Calibri"/>
          <w:lang w:val="en-US" w:eastAsia="en-GB"/>
        </w:rPr>
        <w:t xml:space="preserve">Поддршка за </w:t>
      </w:r>
      <w:proofErr w:type="spellStart"/>
      <w:r w:rsidRPr="002E3769">
        <w:rPr>
          <w:rFonts w:cs="Calibri"/>
          <w:lang w:val="en-US" w:eastAsia="en-GB"/>
        </w:rPr>
        <w:t>достап</w:t>
      </w:r>
      <w:proofErr w:type="spellEnd"/>
      <w:r w:rsidRPr="002E3769">
        <w:rPr>
          <w:rFonts w:cs="Calibri"/>
          <w:lang w:val="en-US" w:eastAsia="en-GB"/>
        </w:rPr>
        <w:t xml:space="preserve"> до ЕУ </w:t>
      </w:r>
      <w:proofErr w:type="spellStart"/>
      <w:r w:rsidRPr="002E3769">
        <w:rPr>
          <w:rFonts w:cs="Calibri"/>
          <w:lang w:val="en-US" w:eastAsia="en-GB"/>
        </w:rPr>
        <w:t>фондови</w:t>
      </w:r>
      <w:proofErr w:type="spellEnd"/>
      <w:r w:rsidRPr="002E3769">
        <w:rPr>
          <w:rFonts w:cs="Calibri"/>
          <w:lang w:val="en-US" w:eastAsia="en-GB"/>
        </w:rPr>
        <w:t xml:space="preserve"> и </w:t>
      </w:r>
      <w:proofErr w:type="spellStart"/>
      <w:r w:rsidRPr="002E3769">
        <w:rPr>
          <w:rFonts w:cs="Calibri"/>
          <w:lang w:val="en-US" w:eastAsia="en-GB"/>
        </w:rPr>
        <w:t>зелени</w:t>
      </w:r>
      <w:proofErr w:type="spellEnd"/>
      <w:r w:rsidRPr="002E3769">
        <w:rPr>
          <w:rFonts w:cs="Calibri"/>
          <w:lang w:val="en-US" w:eastAsia="en-GB"/>
        </w:rPr>
        <w:t xml:space="preserve"> </w:t>
      </w:r>
      <w:proofErr w:type="spellStart"/>
      <w:r w:rsidRPr="002E3769">
        <w:rPr>
          <w:rFonts w:cs="Calibri"/>
          <w:lang w:val="en-US" w:eastAsia="en-GB"/>
        </w:rPr>
        <w:t>проекти</w:t>
      </w:r>
      <w:proofErr w:type="spellEnd"/>
      <w:r w:rsidR="00345BDF" w:rsidRPr="00345BDF">
        <w:rPr>
          <w:rFonts w:cs="Calibri"/>
          <w:lang w:val="mk-MK" w:eastAsia="en-GB"/>
        </w:rPr>
        <w:t xml:space="preserve"> -</w:t>
      </w:r>
      <w:r w:rsidRPr="002E3769">
        <w:rPr>
          <w:rFonts w:cs="Calibri"/>
          <w:lang w:val="en-US" w:eastAsia="en-GB"/>
        </w:rPr>
        <w:t xml:space="preserve"> https://een.ec.europa.eu</w:t>
      </w:r>
    </w:p>
    <w:p w14:paraId="6053B790" w14:textId="14E3C806" w:rsidR="002E3769" w:rsidRPr="002E3769" w:rsidRDefault="002E3769" w:rsidP="00345BDF">
      <w:pPr>
        <w:pStyle w:val="ListParagraph"/>
        <w:numPr>
          <w:ilvl w:val="0"/>
          <w:numId w:val="1"/>
        </w:numPr>
        <w:spacing w:before="100" w:beforeAutospacing="1" w:after="100" w:afterAutospacing="1"/>
        <w:ind w:left="0" w:firstLine="0"/>
        <w:jc w:val="both"/>
        <w:rPr>
          <w:rFonts w:cs="Calibri"/>
          <w:b/>
          <w:bCs/>
          <w:lang w:val="en-US" w:eastAsia="en-GB"/>
        </w:rPr>
      </w:pPr>
      <w:proofErr w:type="spellStart"/>
      <w:r w:rsidRPr="002E3769">
        <w:rPr>
          <w:rFonts w:cs="Calibri"/>
          <w:b/>
          <w:bCs/>
          <w:lang w:val="en-US" w:eastAsia="en-GB"/>
        </w:rPr>
        <w:t>EENergy</w:t>
      </w:r>
      <w:proofErr w:type="spellEnd"/>
      <w:r w:rsidRPr="002E3769">
        <w:rPr>
          <w:rFonts w:cs="Calibri"/>
          <w:b/>
          <w:bCs/>
          <w:lang w:val="en-US" w:eastAsia="en-GB"/>
        </w:rPr>
        <w:t xml:space="preserve"> Project (2024-2025</w:t>
      </w:r>
      <w:r w:rsidR="00345BDF">
        <w:rPr>
          <w:rFonts w:cs="Calibri"/>
          <w:b/>
          <w:bCs/>
          <w:lang w:val="mk-MK" w:eastAsia="en-GB"/>
        </w:rPr>
        <w:t xml:space="preserve">) </w:t>
      </w:r>
      <w:proofErr w:type="spellStart"/>
      <w:r w:rsidRPr="002E3769">
        <w:rPr>
          <w:rFonts w:cs="Calibri"/>
          <w:b/>
          <w:bCs/>
          <w:lang w:val="en-US" w:eastAsia="en-GB"/>
        </w:rPr>
        <w:t>Г</w:t>
      </w:r>
      <w:r w:rsidRPr="002E3769">
        <w:rPr>
          <w:rFonts w:cs="Calibri"/>
          <w:lang w:val="en-US" w:eastAsia="en-GB"/>
        </w:rPr>
        <w:t>рантови</w:t>
      </w:r>
      <w:proofErr w:type="spellEnd"/>
      <w:r w:rsidRPr="002E3769">
        <w:rPr>
          <w:rFonts w:cs="Calibri"/>
          <w:lang w:val="en-US" w:eastAsia="en-GB"/>
        </w:rPr>
        <w:t xml:space="preserve"> за </w:t>
      </w:r>
      <w:proofErr w:type="spellStart"/>
      <w:r w:rsidRPr="002E3769">
        <w:rPr>
          <w:rFonts w:cs="Calibri"/>
          <w:lang w:val="en-US" w:eastAsia="en-GB"/>
        </w:rPr>
        <w:t>енергетска</w:t>
      </w:r>
      <w:proofErr w:type="spellEnd"/>
      <w:r w:rsidRPr="002E3769">
        <w:rPr>
          <w:rFonts w:cs="Calibri"/>
          <w:lang w:val="en-US" w:eastAsia="en-GB"/>
        </w:rPr>
        <w:t xml:space="preserve"> </w:t>
      </w:r>
      <w:proofErr w:type="spellStart"/>
      <w:r w:rsidRPr="002E3769">
        <w:rPr>
          <w:rFonts w:cs="Calibri"/>
          <w:lang w:val="en-US" w:eastAsia="en-GB"/>
        </w:rPr>
        <w:t>ефикасност</w:t>
      </w:r>
      <w:proofErr w:type="spellEnd"/>
      <w:r w:rsidRPr="002E3769">
        <w:rPr>
          <w:rFonts w:cs="Calibri"/>
          <w:lang w:val="en-US" w:eastAsia="en-GB"/>
        </w:rPr>
        <w:t xml:space="preserve"> за МСП</w:t>
      </w:r>
      <w:r w:rsidR="00345BDF" w:rsidRPr="00345BDF">
        <w:rPr>
          <w:rFonts w:cs="Calibri"/>
          <w:lang w:val="mk-MK" w:eastAsia="en-GB"/>
        </w:rPr>
        <w:t xml:space="preserve"> </w:t>
      </w:r>
      <w:proofErr w:type="gramStart"/>
      <w:r w:rsidR="00345BDF" w:rsidRPr="00345BDF">
        <w:rPr>
          <w:rFonts w:cs="Calibri"/>
          <w:lang w:val="mk-MK" w:eastAsia="en-GB"/>
        </w:rPr>
        <w:t xml:space="preserve">- </w:t>
      </w:r>
      <w:r w:rsidRPr="002E3769">
        <w:rPr>
          <w:rFonts w:cs="Calibri"/>
          <w:lang w:val="en-US" w:eastAsia="en-GB"/>
        </w:rPr>
        <w:t xml:space="preserve"> https://www.eenergy-project.eu/</w:t>
      </w:r>
      <w:proofErr w:type="gramEnd"/>
    </w:p>
    <w:p w14:paraId="3FFA4B17" w14:textId="6333C843" w:rsidR="00AC37BF" w:rsidRPr="00F9761C" w:rsidRDefault="002E3769" w:rsidP="00F9761C">
      <w:pPr>
        <w:pStyle w:val="ListParagraph"/>
        <w:spacing w:before="100" w:beforeAutospacing="1" w:after="100" w:afterAutospacing="1"/>
        <w:ind w:left="0"/>
        <w:jc w:val="both"/>
        <w:rPr>
          <w:rFonts w:cs="Calibri"/>
          <w:lang w:val="mk-MK" w:eastAsia="en-GB"/>
        </w:rPr>
      </w:pPr>
      <w:proofErr w:type="spellStart"/>
      <w:r w:rsidRPr="002E3769">
        <w:rPr>
          <w:rFonts w:cs="Calibri"/>
          <w:lang w:val="en-US" w:eastAsia="en-GB"/>
        </w:rPr>
        <w:t>Сите</w:t>
      </w:r>
      <w:proofErr w:type="spellEnd"/>
      <w:r w:rsidRPr="002E3769">
        <w:rPr>
          <w:rFonts w:cs="Calibri"/>
          <w:lang w:val="en-US" w:eastAsia="en-GB"/>
        </w:rPr>
        <w:t xml:space="preserve"> програми</w:t>
      </w:r>
      <w:r w:rsidR="00F9761C">
        <w:rPr>
          <w:rFonts w:cs="Calibri"/>
          <w:lang w:val="mk-MK" w:eastAsia="en-GB"/>
        </w:rPr>
        <w:t xml:space="preserve"> во </w:t>
      </w:r>
      <w:r w:rsidR="00F9761C">
        <w:rPr>
          <w:rFonts w:cs="Calibri"/>
          <w:bCs/>
          <w:lang w:eastAsia="en-GB"/>
        </w:rPr>
        <w:t xml:space="preserve">Северна </w:t>
      </w:r>
      <w:proofErr w:type="gramStart"/>
      <w:r w:rsidR="00F9761C">
        <w:rPr>
          <w:rFonts w:cs="Calibri"/>
          <w:bCs/>
          <w:lang w:eastAsia="en-GB"/>
        </w:rPr>
        <w:t>Македонија</w:t>
      </w:r>
      <w:r w:rsidR="00F9761C" w:rsidRPr="003E66DB">
        <w:rPr>
          <w:rFonts w:cs="Calibri"/>
          <w:bCs/>
          <w:lang w:eastAsia="en-GB"/>
        </w:rPr>
        <w:t xml:space="preserve">, </w:t>
      </w:r>
      <w:r w:rsidRPr="002E3769">
        <w:rPr>
          <w:rFonts w:cs="Calibri"/>
          <w:lang w:val="en-US" w:eastAsia="en-GB"/>
        </w:rPr>
        <w:t xml:space="preserve"> се</w:t>
      </w:r>
      <w:proofErr w:type="gramEnd"/>
      <w:r w:rsidRPr="002E3769">
        <w:rPr>
          <w:rFonts w:cs="Calibri"/>
          <w:lang w:val="en-US" w:eastAsia="en-GB"/>
        </w:rPr>
        <w:t xml:space="preserve"> </w:t>
      </w:r>
      <w:proofErr w:type="spellStart"/>
      <w:r w:rsidRPr="002E3769">
        <w:rPr>
          <w:rFonts w:cs="Calibri"/>
          <w:lang w:val="en-US" w:eastAsia="en-GB"/>
        </w:rPr>
        <w:t>насочени</w:t>
      </w:r>
      <w:proofErr w:type="spellEnd"/>
      <w:r w:rsidRPr="002E3769">
        <w:rPr>
          <w:rFonts w:cs="Calibri"/>
          <w:lang w:val="en-US" w:eastAsia="en-GB"/>
        </w:rPr>
        <w:t xml:space="preserve"> </w:t>
      </w:r>
      <w:proofErr w:type="spellStart"/>
      <w:r w:rsidRPr="002E3769">
        <w:rPr>
          <w:rFonts w:cs="Calibri"/>
          <w:lang w:val="en-US" w:eastAsia="en-GB"/>
        </w:rPr>
        <w:t>кон</w:t>
      </w:r>
      <w:proofErr w:type="spellEnd"/>
      <w:r w:rsidRPr="002E3769">
        <w:rPr>
          <w:rFonts w:cs="Calibri"/>
          <w:lang w:val="en-US" w:eastAsia="en-GB"/>
        </w:rPr>
        <w:t xml:space="preserve"> поттикнување на </w:t>
      </w:r>
      <w:proofErr w:type="spellStart"/>
      <w:r w:rsidRPr="002E3769">
        <w:rPr>
          <w:rFonts w:cs="Calibri"/>
          <w:lang w:val="en-US" w:eastAsia="en-GB"/>
        </w:rPr>
        <w:t>зелена</w:t>
      </w:r>
      <w:proofErr w:type="spellEnd"/>
      <w:r w:rsidRPr="002E3769">
        <w:rPr>
          <w:rFonts w:cs="Calibri"/>
          <w:lang w:val="en-US" w:eastAsia="en-GB"/>
        </w:rPr>
        <w:t xml:space="preserve"> </w:t>
      </w:r>
      <w:proofErr w:type="spellStart"/>
      <w:r w:rsidRPr="002E3769">
        <w:rPr>
          <w:rFonts w:cs="Calibri"/>
          <w:lang w:val="en-US" w:eastAsia="en-GB"/>
        </w:rPr>
        <w:t>транзиција</w:t>
      </w:r>
      <w:proofErr w:type="spellEnd"/>
      <w:r w:rsidRPr="002E3769">
        <w:rPr>
          <w:rFonts w:cs="Calibri"/>
          <w:lang w:val="en-US" w:eastAsia="en-GB"/>
        </w:rPr>
        <w:t xml:space="preserve">, </w:t>
      </w:r>
      <w:proofErr w:type="spellStart"/>
      <w:r w:rsidRPr="002E3769">
        <w:rPr>
          <w:rFonts w:cs="Calibri"/>
          <w:lang w:val="en-US" w:eastAsia="en-GB"/>
        </w:rPr>
        <w:t>енергетска</w:t>
      </w:r>
      <w:proofErr w:type="spellEnd"/>
      <w:r w:rsidRPr="002E3769">
        <w:rPr>
          <w:rFonts w:cs="Calibri"/>
          <w:lang w:val="en-US" w:eastAsia="en-GB"/>
        </w:rPr>
        <w:t xml:space="preserve"> </w:t>
      </w:r>
      <w:proofErr w:type="spellStart"/>
      <w:r w:rsidRPr="002E3769">
        <w:rPr>
          <w:rFonts w:cs="Calibri"/>
          <w:lang w:val="en-US" w:eastAsia="en-GB"/>
        </w:rPr>
        <w:t>ефикасност</w:t>
      </w:r>
      <w:proofErr w:type="spellEnd"/>
      <w:r w:rsidRPr="002E3769">
        <w:rPr>
          <w:rFonts w:cs="Calibri"/>
          <w:lang w:val="en-US" w:eastAsia="en-GB"/>
        </w:rPr>
        <w:t xml:space="preserve">, </w:t>
      </w:r>
      <w:proofErr w:type="spellStart"/>
      <w:r w:rsidRPr="002E3769">
        <w:rPr>
          <w:rFonts w:cs="Calibri"/>
          <w:lang w:val="en-US" w:eastAsia="en-GB"/>
        </w:rPr>
        <w:t>обновливи</w:t>
      </w:r>
      <w:proofErr w:type="spellEnd"/>
      <w:r w:rsidRPr="002E3769">
        <w:rPr>
          <w:rFonts w:cs="Calibri"/>
          <w:lang w:val="en-US" w:eastAsia="en-GB"/>
        </w:rPr>
        <w:t xml:space="preserve"> </w:t>
      </w:r>
      <w:proofErr w:type="spellStart"/>
      <w:r w:rsidRPr="002E3769">
        <w:rPr>
          <w:rFonts w:cs="Calibri"/>
          <w:lang w:val="en-US" w:eastAsia="en-GB"/>
        </w:rPr>
        <w:t>извори</w:t>
      </w:r>
      <w:proofErr w:type="spellEnd"/>
      <w:r w:rsidRPr="002E3769">
        <w:rPr>
          <w:rFonts w:cs="Calibri"/>
          <w:lang w:val="en-US" w:eastAsia="en-GB"/>
        </w:rPr>
        <w:t xml:space="preserve"> и </w:t>
      </w:r>
      <w:proofErr w:type="spellStart"/>
      <w:r w:rsidRPr="002E3769">
        <w:rPr>
          <w:rFonts w:cs="Calibri"/>
          <w:lang w:val="en-US" w:eastAsia="en-GB"/>
        </w:rPr>
        <w:t>циркуларна</w:t>
      </w:r>
      <w:proofErr w:type="spellEnd"/>
      <w:r w:rsidRPr="002E3769">
        <w:rPr>
          <w:rFonts w:cs="Calibri"/>
          <w:lang w:val="en-US" w:eastAsia="en-GB"/>
        </w:rPr>
        <w:t xml:space="preserve"> економија.</w:t>
      </w:r>
      <w:r w:rsidR="00F9761C">
        <w:rPr>
          <w:rFonts w:cs="Calibri"/>
          <w:lang w:val="mk-MK" w:eastAsia="en-GB"/>
        </w:rPr>
        <w:t xml:space="preserve"> З</w:t>
      </w:r>
      <w:r w:rsidR="00221061" w:rsidRPr="003E66DB">
        <w:rPr>
          <w:rFonts w:cs="Calibri"/>
          <w:bCs/>
          <w:lang w:eastAsia="en-GB"/>
        </w:rPr>
        <w:t>еленото финансирање е во пораст, при што се очекува зголемен број банки да ги препознаат деловните можности во овој сегмент, особено во контекст на усогласување со регулативите на Европската унија во областа на заштитата на животната средина .</w:t>
      </w:r>
    </w:p>
    <w:p w14:paraId="0FB08C85" w14:textId="34674494" w:rsidR="00AC37BF" w:rsidRPr="00260370" w:rsidRDefault="00AC37BF" w:rsidP="00AC37BF">
      <w:pPr>
        <w:rPr>
          <w:b/>
        </w:rPr>
      </w:pPr>
      <w:r w:rsidRPr="00260370">
        <w:rPr>
          <w:b/>
          <w:lang w:val="sr-Latn-RS"/>
        </w:rPr>
        <w:t xml:space="preserve">2. </w:t>
      </w:r>
      <w:r w:rsidR="0051320C" w:rsidRPr="00260370">
        <w:rPr>
          <w:b/>
        </w:rPr>
        <w:t xml:space="preserve">3 </w:t>
      </w:r>
      <w:r w:rsidRPr="00260370">
        <w:rPr>
          <w:b/>
          <w:lang w:val="sr-Latn-RS"/>
        </w:rPr>
        <w:t xml:space="preserve">. </w:t>
      </w:r>
      <w:r w:rsidR="0051320C" w:rsidRPr="00260370">
        <w:rPr>
          <w:b/>
        </w:rPr>
        <w:t>Финансирање Zelno VS Standard</w:t>
      </w:r>
      <w:r w:rsidRPr="00260370">
        <w:rPr>
          <w:rStyle w:val="FootnoteReference"/>
          <w:b/>
        </w:rPr>
        <w:footnoteReference w:id="2"/>
      </w:r>
    </w:p>
    <w:p w14:paraId="2FDD52BC" w14:textId="77777777" w:rsidR="00AC37BF" w:rsidRPr="0030040D" w:rsidRDefault="00AC37BF" w:rsidP="00AC37BF">
      <w:pPr>
        <w:rPr>
          <w:b/>
        </w:rPr>
      </w:pPr>
    </w:p>
    <w:p w14:paraId="10F12243" w14:textId="77777777" w:rsidR="00F46DBD" w:rsidRPr="00F46DBD" w:rsidRDefault="00F46DBD" w:rsidP="00F46DBD">
      <w:pPr>
        <w:tabs>
          <w:tab w:val="left" w:pos="3708"/>
        </w:tabs>
        <w:jc w:val="both"/>
        <w:rPr>
          <w:lang w:val="mk-MK"/>
        </w:rPr>
      </w:pPr>
      <w:r w:rsidRPr="00F46DBD">
        <w:rPr>
          <w:lang w:val="mk-MK"/>
        </w:rPr>
        <w:t xml:space="preserve">Во Северна Македонија постојат два главни модели на финансирање за мали и средни претпријатија: </w:t>
      </w:r>
      <w:r w:rsidRPr="00F46DBD">
        <w:rPr>
          <w:b/>
          <w:bCs/>
          <w:lang w:val="mk-MK"/>
        </w:rPr>
        <w:t>стандардно финансирање</w:t>
      </w:r>
      <w:r w:rsidRPr="00F46DBD">
        <w:rPr>
          <w:lang w:val="mk-MK"/>
        </w:rPr>
        <w:t xml:space="preserve"> и </w:t>
      </w:r>
      <w:r w:rsidRPr="00F46DBD">
        <w:rPr>
          <w:b/>
          <w:bCs/>
          <w:lang w:val="mk-MK"/>
        </w:rPr>
        <w:t>зелено финансирање</w:t>
      </w:r>
      <w:r w:rsidRPr="00F46DBD">
        <w:rPr>
          <w:lang w:val="mk-MK"/>
        </w:rPr>
        <w:t>. Иако на прв поглед двата модели обезбедуваат средства за поддршка на развојот на компаниите, нивната суштина, цели, бенефити и услови значително се разликуваат.</w:t>
      </w:r>
    </w:p>
    <w:p w14:paraId="0DBC11D3" w14:textId="77777777" w:rsidR="00F46DBD" w:rsidRPr="00F46DBD" w:rsidRDefault="00F46DBD" w:rsidP="00F46DBD">
      <w:pPr>
        <w:tabs>
          <w:tab w:val="left" w:pos="3708"/>
        </w:tabs>
        <w:jc w:val="both"/>
        <w:rPr>
          <w:lang w:val="mk-MK"/>
        </w:rPr>
      </w:pPr>
      <w:r w:rsidRPr="00F46DBD">
        <w:rPr>
          <w:b/>
          <w:bCs/>
          <w:lang w:val="mk-MK"/>
        </w:rPr>
        <w:t>Стандардното финансирање</w:t>
      </w:r>
      <w:r w:rsidRPr="00F46DBD">
        <w:rPr>
          <w:lang w:val="mk-MK"/>
        </w:rPr>
        <w:t xml:space="preserve"> традиционално се однесува на обезбедување на заеми за деловни активности без задолжителен еколошки фокус. Средствата можат да се користат за купување опрема, зголемување на производствен капацитет, покривање на обртни средства или проширување на деловната активност. Овие кредити најчесто се добиваат преку комерцијални банки или Развојната банка на Северна Македонија, со примена на пазарни каматни стапки и вообичаени услови за обезбедување.</w:t>
      </w:r>
    </w:p>
    <w:p w14:paraId="030488F3" w14:textId="1CD7CACC" w:rsidR="00F46DBD" w:rsidRPr="00F46DBD" w:rsidRDefault="00F46DBD" w:rsidP="00F46DBD">
      <w:pPr>
        <w:tabs>
          <w:tab w:val="left" w:pos="3708"/>
        </w:tabs>
        <w:jc w:val="both"/>
        <w:rPr>
          <w:lang w:val="mk-MK"/>
        </w:rPr>
      </w:pPr>
      <w:r w:rsidRPr="00F46DBD">
        <w:rPr>
          <w:lang w:val="mk-MK"/>
        </w:rPr>
        <w:t xml:space="preserve">Од друга страна, </w:t>
      </w:r>
      <w:r w:rsidRPr="00F46DBD">
        <w:rPr>
          <w:b/>
          <w:bCs/>
          <w:lang w:val="mk-MK"/>
        </w:rPr>
        <w:t>зеленото финансирање</w:t>
      </w:r>
      <w:r w:rsidRPr="00F46DBD">
        <w:rPr>
          <w:lang w:val="mk-MK"/>
        </w:rPr>
        <w:t xml:space="preserve"> е посебно насочено кон проекти што директно придонесуваат за заштита на животната средина, намалување на енергетската потрошувачка, воведување обновливи извори на енергија или транзиција кон циркуларна економија. Проекти кои спаѓаат под зелено финансирање мора да демонстрираат еколошка придобивка, како што е намалување на емисиите на CO₂ или подобрување на енергетската ефикасност. Водечките програми во ова поле се Green Economy Financing Facility (GEFF) од ЕБОР, Green for Growth Fund (GGF), поддршката на ФИТР за зелени иновации</w:t>
      </w:r>
      <w:r w:rsidR="009C51DB">
        <w:rPr>
          <w:lang w:val="mk-MK"/>
        </w:rPr>
        <w:t>.</w:t>
      </w:r>
    </w:p>
    <w:p w14:paraId="600675B8" w14:textId="77777777" w:rsidR="00F46DBD" w:rsidRDefault="00F46DBD" w:rsidP="00F46DBD">
      <w:pPr>
        <w:tabs>
          <w:tab w:val="left" w:pos="3708"/>
        </w:tabs>
        <w:jc w:val="both"/>
        <w:rPr>
          <w:lang w:val="mk-MK"/>
        </w:rPr>
      </w:pPr>
      <w:r w:rsidRPr="00F46DBD">
        <w:rPr>
          <w:lang w:val="mk-MK"/>
        </w:rPr>
        <w:t xml:space="preserve">Клучната разлика меѓу двата модели е во </w:t>
      </w:r>
      <w:r w:rsidRPr="00F46DBD">
        <w:rPr>
          <w:b/>
          <w:bCs/>
          <w:lang w:val="mk-MK"/>
        </w:rPr>
        <w:t>условите и бенефитите</w:t>
      </w:r>
      <w:r w:rsidRPr="00F46DBD">
        <w:rPr>
          <w:lang w:val="mk-MK"/>
        </w:rPr>
        <w:t>. Зеленото финансирање вообичаено доаѓа со поволни услови, како што се намалени каматни стапки, грантови кои може да покријат 10% до 30% од инвестицијата, како и бесплатна техничка поддршка за развој и имплементација на проектите. Овие придобивки го олеснуваат финансискиот товар и го намалуваат ризикот за компаниите што инвестираат во одржливи технологии. Во споредба со тоа, стандардните кредити ретко вклучуваат грантови или техничка помош и бараат поголемо сопствено учество и поголемо обезбедување.</w:t>
      </w:r>
    </w:p>
    <w:p w14:paraId="734B87B8" w14:textId="77777777" w:rsidR="00373285" w:rsidRDefault="00373285" w:rsidP="00373285">
      <w:pPr>
        <w:jc w:val="both"/>
      </w:pPr>
      <w:r>
        <w:t>Зеленото финансирање нуди голем број на предности во споредба со класичното кредитирање, како за клиентите, така и за финансиските институции.</w:t>
      </w:r>
    </w:p>
    <w:p w14:paraId="00B5A2C3" w14:textId="77777777" w:rsidR="00373285" w:rsidRDefault="00373285" w:rsidP="00373285">
      <w:pPr>
        <w:jc w:val="both"/>
      </w:pPr>
      <w:r>
        <w:t>Прво, инвестициите финансирани со зелени заеми имаат јасно мерливо и опипливо влијание – заштеда на енергија и намалување на трошоците за најмалку 20%. Овие заштеди директно ги подобруваат финансиските перформанси на компаниите, овозможувајќи им поголема ликвидност и дополнителен простор за нови инвестиции.</w:t>
      </w:r>
    </w:p>
    <w:p w14:paraId="388BF7D9" w14:textId="77777777" w:rsidR="00373285" w:rsidRDefault="00373285" w:rsidP="00373285">
      <w:pPr>
        <w:jc w:val="both"/>
      </w:pPr>
      <w:r>
        <w:t>Второ, банките кои нудат зелени заеми создаваат додадена вредност, бидејќи стапката на неисполнување на овие заеми е значително помала во споредба со стандардното кредитно портфолио – до три пати. Овие статистички податоци покажуваат дека инвестициите во енергетски ефикасни и одржливи проекти не се само еколошки одговорни, туку и финансиски стабилни, со помал ризик од неисполнување на обврските.</w:t>
      </w:r>
    </w:p>
    <w:p w14:paraId="3A7F7109" w14:textId="77777777" w:rsidR="00373285" w:rsidRDefault="00373285" w:rsidP="00373285">
      <w:pPr>
        <w:jc w:val="both"/>
      </w:pPr>
      <w:r>
        <w:t>Трето, зеленото финансирање е генерално фокусирано на долгорочни инвестиции со рок на отплата од пет или повеќе години. Ова обезбедува стабилен и долгорочен приход за финансиската институција, истовремено овозможувајќи им на клиентите постепено да остварат поврат на инвестицијата преку намалени оперативни трошоци.</w:t>
      </w:r>
    </w:p>
    <w:p w14:paraId="5F7EB5E0" w14:textId="77777777" w:rsidR="00373285" w:rsidRDefault="00373285" w:rsidP="00373285">
      <w:pPr>
        <w:jc w:val="both"/>
      </w:pPr>
      <w:r>
        <w:t>Генерално, зеленото финансирање носи взаемна корист – им овозможува на компаниите пристап до поповолни услови за финансирање и ги намалува оперативните трошоци на долг рок, истовремено обезбедувајќи им на банките побезбедно и поодржливо кредитно портфолио.</w:t>
      </w:r>
    </w:p>
    <w:p w14:paraId="722A320B" w14:textId="77777777" w:rsidR="00373285" w:rsidRDefault="00373285" w:rsidP="00373285">
      <w:pPr>
        <w:jc w:val="both"/>
      </w:pPr>
      <w:r>
        <w:t>Зеленото финансирање обезбедува голем број на предности во однос на стандардните кредитни производи, од кои корист имаат и клиентите и финансиските институции.</w:t>
      </w:r>
    </w:p>
    <w:p w14:paraId="327818E6" w14:textId="77777777" w:rsidR="00373285" w:rsidRDefault="00373285" w:rsidP="00373285">
      <w:pPr>
        <w:jc w:val="both"/>
      </w:pPr>
      <w:r>
        <w:t xml:space="preserve">Финансиски придобивки за клиентите </w:t>
      </w:r>
      <w:r>
        <w:rPr>
          <w:lang w:val="sr-Latn-RS"/>
        </w:rPr>
        <w:t xml:space="preserve">: </w:t>
      </w:r>
      <w:r>
        <w:t>Инвестициите финансирани со зелени заеми често резултираат со значителни заштеди на енергија и намалени оперативни трошоци, што ги подобрува финансиските перформанси на компанијата и создава простор за нови инвестиции.</w:t>
      </w:r>
    </w:p>
    <w:p w14:paraId="3141714A" w14:textId="77777777" w:rsidR="00373285" w:rsidRPr="00221061" w:rsidRDefault="00373285" w:rsidP="00373285">
      <w:r>
        <w:t xml:space="preserve">Намален кредитен ризик за банките </w:t>
      </w:r>
      <w:r>
        <w:rPr>
          <w:lang w:val="sr-Latn-RS"/>
        </w:rPr>
        <w:t xml:space="preserve">: </w:t>
      </w:r>
      <w:r w:rsidRPr="00221061">
        <w:t>Банките кои нудат зелени заеми имаат пониски стапки на деликвенција на овие заеми во споредба со стандардните заеми, што укажува на помал кредитен ризик и поголема финансиска стабилност на таквите инвестиции.</w:t>
      </w:r>
    </w:p>
    <w:p w14:paraId="4B7D5D10" w14:textId="77777777" w:rsidR="00373285" w:rsidRPr="00221061" w:rsidRDefault="00373285" w:rsidP="00373285">
      <w:pPr>
        <w:tabs>
          <w:tab w:val="left" w:pos="3708"/>
        </w:tabs>
        <w:jc w:val="both"/>
      </w:pPr>
      <w:r w:rsidRPr="00221061">
        <w:t xml:space="preserve">Долгорочни приходи и пазарни можности </w:t>
      </w:r>
      <w:r>
        <w:rPr>
          <w:lang w:val="sr-Latn-RS"/>
        </w:rPr>
        <w:t xml:space="preserve">: </w:t>
      </w:r>
      <w:r w:rsidRPr="00221061">
        <w:t>Зелените финансии главно се фокусирани на долгорочни инвестиции, обезбедувајќи стабилен приход за финансиските институции. Дополнително, зголемената побарувачка за одржливи проекти отвора нови пазарни можности и им овозможува на банките да се позиционираат како лидери во областа на одржливите финансии.</w:t>
      </w:r>
    </w:p>
    <w:p w14:paraId="66EA79D1" w14:textId="77777777" w:rsidR="00373285" w:rsidRDefault="00373285" w:rsidP="00373285">
      <w:pPr>
        <w:tabs>
          <w:tab w:val="left" w:pos="3708"/>
        </w:tabs>
        <w:jc w:val="both"/>
        <w:rPr>
          <w:lang w:val="mk-MK"/>
        </w:rPr>
      </w:pPr>
      <w:r w:rsidRPr="00221061">
        <w:t xml:space="preserve">Придонес за одржлив развој </w:t>
      </w:r>
      <w:r>
        <w:rPr>
          <w:lang w:val="sr-Latn-RS"/>
        </w:rPr>
        <w:t xml:space="preserve">: </w:t>
      </w:r>
      <w:r w:rsidRPr="00221061">
        <w:t>Со поддршка на проекти кои ги намалуваат емисиите на стакленички гасови и ја подобруваат енергетската ефикасност, зеленото финансирање придонесува за глобалните напори за борба против климатските промени и поттикнува одржлив развој.</w:t>
      </w:r>
    </w:p>
    <w:p w14:paraId="25637350" w14:textId="77777777" w:rsidR="00373285" w:rsidRPr="00F46DBD" w:rsidRDefault="00373285" w:rsidP="00F46DBD">
      <w:pPr>
        <w:tabs>
          <w:tab w:val="left" w:pos="3708"/>
        </w:tabs>
        <w:jc w:val="both"/>
        <w:rPr>
          <w:lang w:val="mk-MK"/>
        </w:rPr>
      </w:pPr>
    </w:p>
    <w:p w14:paraId="72DEEA76" w14:textId="77777777" w:rsidR="00F46DBD" w:rsidRPr="00F46DBD" w:rsidRDefault="00F46DBD" w:rsidP="00F46DBD">
      <w:pPr>
        <w:tabs>
          <w:tab w:val="left" w:pos="3708"/>
        </w:tabs>
        <w:jc w:val="both"/>
        <w:rPr>
          <w:lang w:val="mk-MK"/>
        </w:rPr>
      </w:pPr>
      <w:r w:rsidRPr="00F46DBD">
        <w:rPr>
          <w:lang w:val="mk-MK"/>
        </w:rPr>
        <w:t>Сепак, зеленото финансирање бара поголема подготвеност од апликантите. Компаниите мора да ги оправдаат своите проекти со еколошка студија или бизнис-план што докажува одржливост. Ова ги прави процедурите нешто посложени и подолги во споредба со класичните банкарски кредити, но долгорочните придобивки во намалени оперативни трошоци и подобра пазарна позиција ја оправдуваат таа инвестиција на време и труд.</w:t>
      </w:r>
    </w:p>
    <w:p w14:paraId="6CD5A0CF" w14:textId="77777777" w:rsidR="00F46DBD" w:rsidRPr="00F46DBD" w:rsidRDefault="00F46DBD" w:rsidP="00F46DBD">
      <w:pPr>
        <w:tabs>
          <w:tab w:val="left" w:pos="3708"/>
        </w:tabs>
        <w:jc w:val="both"/>
        <w:rPr>
          <w:lang w:val="mk-MK"/>
        </w:rPr>
      </w:pPr>
      <w:r w:rsidRPr="00F46DBD">
        <w:rPr>
          <w:lang w:val="mk-MK"/>
        </w:rPr>
        <w:t>Во моментов, Северна Македонија активно го поттикнува зеленото финансирање преку национални стратегии за климатски промени, Планот за забрзан економски раст и поддршката од меѓународни партнери како ЕБОР, ЕУ и УНДП.</w:t>
      </w:r>
    </w:p>
    <w:p w14:paraId="5A870D6C" w14:textId="5F8540D0" w:rsidR="00F46DBD" w:rsidRPr="00F46DBD" w:rsidRDefault="00F46DBD" w:rsidP="00F46DBD">
      <w:pPr>
        <w:tabs>
          <w:tab w:val="left" w:pos="3708"/>
        </w:tabs>
        <w:jc w:val="both"/>
        <w:rPr>
          <w:lang w:val="mk-MK"/>
        </w:rPr>
      </w:pPr>
    </w:p>
    <w:p w14:paraId="0A1ADB8D" w14:textId="7B6CE3E3" w:rsidR="00F46DBD" w:rsidRPr="00F46DBD" w:rsidRDefault="00F46DBD" w:rsidP="00F46DBD">
      <w:pPr>
        <w:tabs>
          <w:tab w:val="left" w:pos="3708"/>
        </w:tabs>
        <w:jc w:val="both"/>
        <w:rPr>
          <w:lang w:val="mk-MK"/>
        </w:rPr>
      </w:pPr>
      <w:r w:rsidRPr="00F46DBD">
        <w:rPr>
          <w:lang w:val="mk-MK"/>
        </w:rPr>
        <w:t>Додека стандардното финансирање останува основна алатка за општо деловно проширување, зеленото финансирање станува стратешки избор за компании кои сакаат да се прилагодат на идните регулативи, да станат поефикасни и да ги искористат грантовите и стимулациите достапни во рамките на зелената економија.</w:t>
      </w:r>
    </w:p>
    <w:p w14:paraId="5B1291FE" w14:textId="77777777" w:rsidR="00221061" w:rsidRDefault="00221061" w:rsidP="00221061">
      <w:pPr>
        <w:tabs>
          <w:tab w:val="left" w:pos="3708"/>
        </w:tabs>
        <w:jc w:val="both"/>
        <w:rPr>
          <w:lang w:val="mk-MK"/>
        </w:rPr>
      </w:pPr>
      <w:r w:rsidRPr="00221061">
        <w:t>Како заклучок, зеленото финансирање не само што обезбедува финансиски придобивки за клиентите и банките, туку исто така игра клучна улога во транзицијата кон одржлива економија, што го прави супериорен избор во однос на стандардното финансирање.</w:t>
      </w:r>
    </w:p>
    <w:p w14:paraId="47D43683" w14:textId="333C1BC1" w:rsidR="00B03A1B" w:rsidRDefault="00B03A1B">
      <w:pPr>
        <w:rPr>
          <w:lang w:val="mk-MK"/>
        </w:rPr>
      </w:pPr>
      <w:r>
        <w:rPr>
          <w:lang w:val="mk-MK"/>
        </w:rPr>
        <w:br w:type="page"/>
      </w:r>
    </w:p>
    <w:p w14:paraId="24DA67F1" w14:textId="008837F0" w:rsidR="00B03A1B" w:rsidRDefault="00AC37BF" w:rsidP="00B03A1B">
      <w:pPr>
        <w:rPr>
          <w:b/>
          <w:lang w:val="mk-MK"/>
        </w:rPr>
      </w:pPr>
      <w:r w:rsidRPr="00260370">
        <w:rPr>
          <w:b/>
          <w:lang w:val="sr-Latn-RS"/>
        </w:rPr>
        <w:t xml:space="preserve">2. </w:t>
      </w:r>
      <w:r w:rsidR="0051320C" w:rsidRPr="00260370">
        <w:rPr>
          <w:b/>
        </w:rPr>
        <w:t xml:space="preserve">4. </w:t>
      </w:r>
      <w:r w:rsidR="001B7F6B" w:rsidRPr="00260370">
        <w:rPr>
          <w:b/>
        </w:rPr>
        <w:t xml:space="preserve">Зелено финансирање во Северна </w:t>
      </w:r>
      <w:r w:rsidRPr="00260370">
        <w:rPr>
          <w:b/>
          <w:lang w:val="sr-Latn-RS"/>
        </w:rPr>
        <w:t>Македонија</w:t>
      </w:r>
      <w:bookmarkStart w:id="7" w:name="_Toc195047165"/>
      <w:bookmarkStart w:id="8" w:name="_Hlk191540212"/>
      <w:r w:rsidR="00B03A1B" w:rsidRPr="00260370">
        <w:rPr>
          <w:rStyle w:val="FootnoteReference"/>
          <w:b/>
        </w:rPr>
        <w:footnoteReference w:id="3"/>
      </w:r>
    </w:p>
    <w:p w14:paraId="470428C7" w14:textId="77777777" w:rsidR="00B03A1B" w:rsidRDefault="00B03A1B" w:rsidP="00B03A1B">
      <w:pPr>
        <w:rPr>
          <w:b/>
          <w:lang w:val="mk-MK"/>
        </w:rPr>
      </w:pPr>
    </w:p>
    <w:p w14:paraId="0586DB7C" w14:textId="69D261F0" w:rsidR="00F02E1C" w:rsidRPr="00B03A1B" w:rsidRDefault="00F02E1C" w:rsidP="00B03A1B">
      <w:pPr>
        <w:jc w:val="both"/>
        <w:rPr>
          <w:b/>
        </w:rPr>
      </w:pPr>
      <w:r w:rsidRPr="00F02E1C">
        <w:rPr>
          <w:rFonts w:cs="Calibri"/>
        </w:rPr>
        <w:t>Зелените финансии во Северна Македонија забележаа значителен раст во последниве години, поддржани од иницијативите на меѓународните финансиски институции и локалните власти. Европската банка за обнова и развој (ЕБОР) го имплементира Зелениот финансиски фонд (GEFF) во Западен Балкан, вклучително и во Северна Македонија, со вкупна кредитна линија од 85 милиони евра. Програмата обезбедува финансирање за енергетски ефикасни технологии во домаќинствата и бизнисите, со финансиски стимулации кои се движат од 15% до 35% од износот на заемот, во зависност од видот на инвестицијата.</w:t>
      </w:r>
    </w:p>
    <w:p w14:paraId="219EDFD8" w14:textId="77777777" w:rsidR="00F02E1C" w:rsidRPr="00F02E1C" w:rsidRDefault="00F02E1C" w:rsidP="00B03A1B">
      <w:pPr>
        <w:pStyle w:val="Heading1"/>
        <w:jc w:val="both"/>
        <w:rPr>
          <w:rFonts w:ascii="Calibri" w:eastAsia="Times New Roman" w:hAnsi="Calibri" w:cs="Calibri"/>
          <w:color w:val="auto"/>
          <w:sz w:val="22"/>
          <w:szCs w:val="22"/>
        </w:rPr>
      </w:pPr>
      <w:r w:rsidRPr="00F02E1C">
        <w:rPr>
          <w:rFonts w:ascii="Calibri" w:eastAsia="Times New Roman" w:hAnsi="Calibri" w:cs="Calibri"/>
          <w:color w:val="auto"/>
          <w:sz w:val="22"/>
          <w:szCs w:val="22"/>
        </w:rPr>
        <w:t>Во 2023 година, Народната банка на Северна Македонија забележа раст на зелените кредити од 29,1% во однос на претходната година, додека од 2019 година зелените кредити се зголемени за 2,8 пати. Сепак, и покрај ваквиот раст, нивното учество во вкупните кредити останува занемарливо.</w:t>
      </w:r>
    </w:p>
    <w:p w14:paraId="66FE12FF" w14:textId="77777777" w:rsidR="00F02E1C" w:rsidRPr="00F02E1C" w:rsidRDefault="00F02E1C" w:rsidP="00B03A1B">
      <w:pPr>
        <w:pStyle w:val="Heading1"/>
        <w:jc w:val="both"/>
        <w:rPr>
          <w:rFonts w:ascii="Calibri" w:eastAsia="Times New Roman" w:hAnsi="Calibri" w:cs="Calibri"/>
          <w:color w:val="auto"/>
          <w:sz w:val="22"/>
          <w:szCs w:val="22"/>
        </w:rPr>
      </w:pPr>
      <w:r w:rsidRPr="00F02E1C">
        <w:rPr>
          <w:rFonts w:ascii="Calibri" w:eastAsia="Times New Roman" w:hAnsi="Calibri" w:cs="Calibri"/>
          <w:color w:val="auto"/>
          <w:sz w:val="22"/>
          <w:szCs w:val="22"/>
        </w:rPr>
        <w:t>Владата на Северна Македонија, исто така, презеде чекори за унапредување на зеленото финансирање. Во октомври 2023 година, Министерството за финансии ги издаде првите зелени обврзници во износ од 10 милиони евра, наменети за поддршка на еколошки проекти и иницијативи за подобрување и заштита на животната средина.</w:t>
      </w:r>
    </w:p>
    <w:p w14:paraId="3C2B9CF3" w14:textId="77777777" w:rsidR="00F02E1C" w:rsidRPr="00F02E1C" w:rsidRDefault="00F02E1C" w:rsidP="00B03A1B">
      <w:pPr>
        <w:pStyle w:val="Heading1"/>
        <w:jc w:val="both"/>
        <w:rPr>
          <w:rFonts w:ascii="Calibri" w:eastAsia="Times New Roman" w:hAnsi="Calibri" w:cs="Calibri"/>
          <w:color w:val="auto"/>
          <w:sz w:val="22"/>
          <w:szCs w:val="22"/>
        </w:rPr>
      </w:pPr>
      <w:r w:rsidRPr="00F02E1C">
        <w:rPr>
          <w:rFonts w:ascii="Calibri" w:eastAsia="Times New Roman" w:hAnsi="Calibri" w:cs="Calibri"/>
          <w:color w:val="auto"/>
          <w:sz w:val="22"/>
          <w:szCs w:val="22"/>
        </w:rPr>
        <w:t>Фондот за зелен развој (GDF) е исто така активен во регионот, обезбедувајќи финансиска поддршка за проекти за енергетска ефикасност и обновливи извори на енергија. Средствата под управување на GDF надминаа една милијарда евра, што укажува на зголемена побарувачка за зелени финансиски инструменти во регионот.</w:t>
      </w:r>
    </w:p>
    <w:p w14:paraId="711E04EB" w14:textId="77777777" w:rsidR="00F02E1C" w:rsidRDefault="00F02E1C" w:rsidP="00B03A1B">
      <w:pPr>
        <w:pStyle w:val="Heading1"/>
        <w:spacing w:before="0" w:after="0"/>
        <w:jc w:val="both"/>
        <w:rPr>
          <w:rFonts w:ascii="Calibri" w:eastAsia="Times New Roman" w:hAnsi="Calibri" w:cs="Calibri"/>
          <w:color w:val="auto"/>
          <w:sz w:val="22"/>
          <w:szCs w:val="22"/>
        </w:rPr>
      </w:pPr>
      <w:r w:rsidRPr="00F02E1C">
        <w:rPr>
          <w:rFonts w:ascii="Calibri" w:eastAsia="Times New Roman" w:hAnsi="Calibri" w:cs="Calibri"/>
          <w:color w:val="auto"/>
          <w:sz w:val="22"/>
          <w:szCs w:val="22"/>
        </w:rPr>
        <w:t>Овие податоци покажуваат дека Северна Македонија постепено ги интегрира принципите на зелените финансии во својот економски систем, со поддршка на меѓународни институции и домашни иницијативи, што придонесува за одржлив развој и заштита на животната средина.</w:t>
      </w:r>
    </w:p>
    <w:p w14:paraId="73C97915" w14:textId="77777777" w:rsidR="00F02E1C" w:rsidRDefault="00F02E1C" w:rsidP="00F02E1C">
      <w:pPr>
        <w:pStyle w:val="Heading1"/>
        <w:spacing w:before="0" w:after="0"/>
        <w:rPr>
          <w:rFonts w:asciiTheme="minorHAnsi" w:hAnsiTheme="minorHAnsi" w:cstheme="minorHAnsi"/>
          <w:b/>
          <w:color w:val="auto"/>
          <w:sz w:val="24"/>
          <w:szCs w:val="24"/>
        </w:rPr>
      </w:pPr>
    </w:p>
    <w:p w14:paraId="11472CDB" w14:textId="1C8D20F9" w:rsidR="00C604B8" w:rsidRPr="00260370" w:rsidRDefault="00E81480" w:rsidP="00F02E1C">
      <w:pPr>
        <w:pStyle w:val="Heading1"/>
        <w:spacing w:before="0" w:after="0"/>
        <w:rPr>
          <w:rFonts w:asciiTheme="minorHAnsi" w:hAnsiTheme="minorHAnsi" w:cstheme="minorHAnsi"/>
          <w:b/>
          <w:color w:val="auto"/>
          <w:sz w:val="24"/>
          <w:szCs w:val="24"/>
        </w:rPr>
      </w:pPr>
      <w:r w:rsidRPr="00260370">
        <w:rPr>
          <w:rFonts w:asciiTheme="minorHAnsi" w:hAnsiTheme="minorHAnsi" w:cstheme="minorHAnsi"/>
          <w:b/>
          <w:color w:val="auto"/>
          <w:sz w:val="24"/>
          <w:szCs w:val="24"/>
        </w:rPr>
        <w:t xml:space="preserve">3. </w:t>
      </w:r>
      <w:r w:rsidR="003B7A49">
        <w:rPr>
          <w:rFonts w:asciiTheme="minorHAnsi" w:hAnsiTheme="minorHAnsi" w:cstheme="minorHAnsi"/>
          <w:b/>
          <w:color w:val="auto"/>
          <w:sz w:val="24"/>
          <w:szCs w:val="24"/>
        </w:rPr>
        <w:t>Озеленување</w:t>
      </w:r>
      <w:r w:rsidRPr="00260370">
        <w:rPr>
          <w:rFonts w:asciiTheme="minorHAnsi" w:hAnsiTheme="minorHAnsi" w:cstheme="minorHAnsi"/>
          <w:b/>
          <w:color w:val="auto"/>
          <w:sz w:val="24"/>
          <w:szCs w:val="24"/>
        </w:rPr>
        <w:t xml:space="preserve"> бизнис, принципи и критериуми на зелено финансирање</w:t>
      </w:r>
      <w:bookmarkEnd w:id="7"/>
      <w:r w:rsidR="0051320C" w:rsidRPr="00260370">
        <w:rPr>
          <w:rFonts w:asciiTheme="minorHAnsi" w:hAnsiTheme="minorHAnsi" w:cstheme="minorHAnsi"/>
          <w:b/>
          <w:color w:val="auto"/>
          <w:sz w:val="24"/>
          <w:szCs w:val="24"/>
        </w:rPr>
        <w:t xml:space="preserve"> </w:t>
      </w:r>
    </w:p>
    <w:p w14:paraId="01E18ABE" w14:textId="77777777" w:rsidR="00FE15C2" w:rsidRPr="00062713" w:rsidRDefault="00FE15C2" w:rsidP="000172A1">
      <w:pPr>
        <w:jc w:val="both"/>
      </w:pPr>
    </w:p>
    <w:p w14:paraId="1ABD8E60" w14:textId="77777777" w:rsidR="00105A20" w:rsidRPr="00062713" w:rsidRDefault="00FE15C2" w:rsidP="00FE15C2">
      <w:pPr>
        <w:jc w:val="both"/>
      </w:pPr>
      <w:r w:rsidRPr="00062713">
        <w:t>Генерално, зеленото претприемништво и зелената економија се клучни компоненти за одржлив развој и заштита на животната средина. Зелената економија, како економски модел, го нагласува намалувањето на негативното влијание на човековите активности врз природата, додека зеленото претприемништво ги поттикнува претприемачите да развиваат иновативни, еколошки одговорни производи и услуги.</w:t>
      </w:r>
    </w:p>
    <w:p w14:paraId="5D723843" w14:textId="77777777" w:rsidR="00105A20" w:rsidRPr="00062713" w:rsidRDefault="00105A20" w:rsidP="00FE15C2">
      <w:pPr>
        <w:jc w:val="both"/>
      </w:pPr>
    </w:p>
    <w:p w14:paraId="5352659F" w14:textId="4BFEF638" w:rsidR="00FE15C2" w:rsidRPr="00062713" w:rsidRDefault="00FE15C2" w:rsidP="00FE15C2">
      <w:pPr>
        <w:jc w:val="both"/>
        <w:rPr>
          <w:lang w:val="sr-Latn-RS"/>
        </w:rPr>
      </w:pPr>
      <w:r w:rsidRPr="00062713">
        <w:t>Придобивките за пошироката заедница од „</w:t>
      </w:r>
      <w:r w:rsidR="003B7A49">
        <w:t>озеленување</w:t>
      </w:r>
      <w:r w:rsidRPr="00062713">
        <w:t xml:space="preserve">то“ на бизнисот се рефлектираат во дефинициите за зелен бизнис: „Тоа е економија која придонесува за општото добро и социјалната еднаквост додека значително ги намалува ризиците за животната средина и понатамошната експлоатација на природните ресурси“. ( </w:t>
      </w:r>
      <w:r w:rsidR="006A4D5A">
        <w:rPr>
          <w:lang w:val="sr-Latn-RS"/>
        </w:rPr>
        <w:t xml:space="preserve">Програма на Обединетите нации за животна средина </w:t>
      </w:r>
      <w:r w:rsidRPr="00062713">
        <w:t xml:space="preserve">– </w:t>
      </w:r>
      <w:r w:rsidR="006A4D5A">
        <w:rPr>
          <w:lang w:val="sr-Latn-RS"/>
        </w:rPr>
        <w:t>УНЕП</w:t>
      </w:r>
      <w:r w:rsidRPr="00062713">
        <w:t>)</w:t>
      </w:r>
      <w:r w:rsidRPr="00062713">
        <w:rPr>
          <w:lang w:val="sr-Latn-RS"/>
        </w:rPr>
        <w:t>.</w:t>
      </w:r>
    </w:p>
    <w:p w14:paraId="1B115AA2" w14:textId="45DF9478" w:rsidR="00FE15C2" w:rsidRPr="00062713" w:rsidRDefault="00FE15C2" w:rsidP="00FE15C2">
      <w:pPr>
        <w:jc w:val="both"/>
      </w:pPr>
      <w:r w:rsidRPr="00062713">
        <w:t xml:space="preserve">„Економијата која е отпорна и способна да создаде подобар квалитет на живот за сите во рамките на еколошките граници на планетата“. ( </w:t>
      </w:r>
      <w:r w:rsidR="006A4D5A">
        <w:rPr>
          <w:lang w:val="sr-Latn-RS"/>
        </w:rPr>
        <w:t xml:space="preserve">Коалиција за зелена економија </w:t>
      </w:r>
      <w:r w:rsidRPr="00062713">
        <w:t>).</w:t>
      </w:r>
    </w:p>
    <w:p w14:paraId="03CEB27A" w14:textId="77777777" w:rsidR="00FE15C2" w:rsidRPr="00062713" w:rsidRDefault="00FE15C2" w:rsidP="00FE15C2">
      <w:pPr>
        <w:jc w:val="both"/>
      </w:pPr>
    </w:p>
    <w:p w14:paraId="2BA19996" w14:textId="3AB9693B" w:rsidR="00FE15C2" w:rsidRPr="00062713" w:rsidRDefault="00FE15C2" w:rsidP="00FE15C2">
      <w:pPr>
        <w:jc w:val="both"/>
      </w:pPr>
      <w:r w:rsidRPr="00062713">
        <w:t>Факт е дека успешните компании ја препознаваат важноста да ги инвестираат своите ресурси во заштита на животната средина (меѓу другото, затоа и се препознаваат како успешни), бидејќи не само што сакаат да ги исполнат своите законски обврски, туку и не се подготвени да го загрозат нивниот корпоративен имиџ, углед, а со тоа и нивниот бизнис преку неодговорно однесување. Сè повеќе компании ја засноваат својата деловна стратегија на намалување на количината на материјал вграден во производите, минимизирање на потрошувачката на енергија и суровини во производството и дизајнирање производи со подолг животен век и погодни за поправка или рециклирање.</w:t>
      </w:r>
    </w:p>
    <w:p w14:paraId="7425A98F" w14:textId="77777777" w:rsidR="00FE15C2" w:rsidRPr="00062713" w:rsidRDefault="00FE15C2" w:rsidP="000172A1">
      <w:pPr>
        <w:jc w:val="both"/>
      </w:pPr>
    </w:p>
    <w:p w14:paraId="5B65F67B" w14:textId="4F1A832D" w:rsidR="00105A20" w:rsidRPr="00062713" w:rsidRDefault="00105A20" w:rsidP="00105A20">
      <w:pPr>
        <w:jc w:val="both"/>
      </w:pPr>
      <w:r w:rsidRPr="00062713">
        <w:t xml:space="preserve">Придобивките од </w:t>
      </w:r>
      <w:r w:rsidR="003B7A49">
        <w:t>озеленување</w:t>
      </w:r>
      <w:r w:rsidRPr="00062713">
        <w:t>то од перспектива на малите и средни претпријатија (МСП) може да се гледаат преку различни аспекти:</w:t>
      </w:r>
    </w:p>
    <w:p w14:paraId="71ADAB9D" w14:textId="77777777" w:rsidR="00105A20" w:rsidRPr="00062713" w:rsidRDefault="00105A20" w:rsidP="00105A20">
      <w:pPr>
        <w:jc w:val="both"/>
      </w:pPr>
    </w:p>
    <w:p w14:paraId="2E9DAB8F" w14:textId="77777777" w:rsidR="00105A20" w:rsidRPr="00062713" w:rsidRDefault="00105A20" w:rsidP="00E95C33">
      <w:pPr>
        <w:pStyle w:val="ListParagraph"/>
        <w:numPr>
          <w:ilvl w:val="0"/>
          <w:numId w:val="1"/>
        </w:numPr>
        <w:jc w:val="both"/>
      </w:pPr>
      <w:r w:rsidRPr="00062713">
        <w:rPr>
          <w:b/>
        </w:rPr>
        <w:t xml:space="preserve">Финансиски придобивки: </w:t>
      </w:r>
      <w:r w:rsidRPr="00062713">
        <w:t>претприемачите можат да остварат значителни заштеди преку намалени трошоци за енергија, материјали и ресурси. Има и бројни субвенции и повластени заеми специјализирани за зелени иницијативи, кои овозможуваат поповолно финансирање на инвестиции во енергетска ефикасност, обновливи извори на енергија и технологии за животна средина. Овие финансиски стимулации можат значително да ја подобрат долгорочната профитабилност.</w:t>
      </w:r>
    </w:p>
    <w:p w14:paraId="71CB5ACC" w14:textId="77777777" w:rsidR="00105A20" w:rsidRPr="00062713" w:rsidRDefault="00105A20" w:rsidP="00105A20">
      <w:pPr>
        <w:jc w:val="both"/>
      </w:pPr>
    </w:p>
    <w:p w14:paraId="216739C0" w14:textId="77777777" w:rsidR="00105A20" w:rsidRPr="00062713" w:rsidRDefault="00105A20" w:rsidP="00E95C33">
      <w:pPr>
        <w:pStyle w:val="ListParagraph"/>
        <w:numPr>
          <w:ilvl w:val="0"/>
          <w:numId w:val="1"/>
        </w:numPr>
        <w:jc w:val="both"/>
      </w:pPr>
      <w:r w:rsidRPr="00062713">
        <w:rPr>
          <w:b/>
        </w:rPr>
        <w:t xml:space="preserve">Оперативни придобивки: </w:t>
      </w:r>
      <w:r w:rsidRPr="00062713">
        <w:t>Спроведувањето зелени практики води до поголема ефикасност во бизнисот. Оптимизирањето на потрошувачката на ресурси како енергија, вода и суровини не само што ги намалува трошоците, туку го намалува и отпадот и загадувањето. Овие промени можат да придонесат за поголема продуктивност и подобра организација на деловните процеси, што позитивно влијае на севкупната оперативна ефикасност.</w:t>
      </w:r>
    </w:p>
    <w:p w14:paraId="101F351F" w14:textId="77777777" w:rsidR="00105A20" w:rsidRPr="00062713" w:rsidRDefault="00105A20" w:rsidP="00105A20">
      <w:pPr>
        <w:jc w:val="both"/>
      </w:pPr>
    </w:p>
    <w:p w14:paraId="1845ACD9" w14:textId="77777777" w:rsidR="00105A20" w:rsidRPr="00062713" w:rsidRDefault="00105A20" w:rsidP="00E95C33">
      <w:pPr>
        <w:pStyle w:val="ListParagraph"/>
        <w:numPr>
          <w:ilvl w:val="0"/>
          <w:numId w:val="1"/>
        </w:numPr>
        <w:jc w:val="both"/>
      </w:pPr>
      <w:r w:rsidRPr="00062713">
        <w:rPr>
          <w:b/>
        </w:rPr>
        <w:t xml:space="preserve">Придобивки од репутацијата: </w:t>
      </w:r>
      <w:r w:rsidRPr="00062713">
        <w:t>Зелението го подобрува имиџот на компанијата, што може да доведе до поголемо признание на пазарот. Зелениот пристап кон бизнисот ја зголемува довербата на потрошувачите и ја зајакнува лојалноста на постојните клиенти, истовремено привлекувајќи нови кои го ценат одговорниот и одржлив пристап. Компаниите кои се истакнуваат во зелените практики често добиваат подобри оценки во очите на јавноста, што може да го подобри нивниот бренд и конкурентност.</w:t>
      </w:r>
    </w:p>
    <w:p w14:paraId="4404B85B" w14:textId="77777777" w:rsidR="00105A20" w:rsidRPr="00062713" w:rsidRDefault="00105A20" w:rsidP="00105A20">
      <w:pPr>
        <w:jc w:val="both"/>
      </w:pPr>
    </w:p>
    <w:p w14:paraId="45CD20D7" w14:textId="7AB826F2" w:rsidR="00E81480" w:rsidRDefault="00105A20" w:rsidP="00CB1ACA">
      <w:pPr>
        <w:pStyle w:val="ListParagraph"/>
        <w:numPr>
          <w:ilvl w:val="0"/>
          <w:numId w:val="1"/>
        </w:numPr>
        <w:jc w:val="both"/>
      </w:pPr>
      <w:r w:rsidRPr="00062713">
        <w:rPr>
          <w:b/>
        </w:rPr>
        <w:t xml:space="preserve">Регулаторни придобивки: </w:t>
      </w:r>
      <w:r w:rsidRPr="00062713">
        <w:t>Префрлањето на бизнисот кон одржливи практики го олеснува усогласувањето со законодавството, особено во областа на заштитата на животната средина. ММСП кои спроведуваат зелени практики често имаат подобар пристап до јавните набавки, бидејќи се повеќе и повеќе тендери бараат усогласување со еколошките стандарди. Оваа усогласеност го намалува ризикот од правни проблеми и може да ја отвори вратата за нови деловни можности.</w:t>
      </w:r>
      <w:bookmarkEnd w:id="8"/>
    </w:p>
    <w:p w14:paraId="762B69C7" w14:textId="77777777" w:rsidR="003E66DB" w:rsidRDefault="003E66DB" w:rsidP="003E66DB">
      <w:pPr>
        <w:pStyle w:val="ListParagraph"/>
      </w:pPr>
    </w:p>
    <w:p w14:paraId="2DB9A41D" w14:textId="75B6CF9B" w:rsidR="00E81480" w:rsidRPr="00062713" w:rsidRDefault="00CB1ACA" w:rsidP="00E81480">
      <w:pPr>
        <w:spacing w:before="100" w:beforeAutospacing="1" w:after="100" w:afterAutospacing="1"/>
        <w:outlineLvl w:val="2"/>
        <w:rPr>
          <w:rFonts w:cs="Calibri"/>
          <w:b/>
          <w:bCs/>
          <w:lang w:eastAsia="en-GB"/>
        </w:rPr>
      </w:pPr>
      <w:bookmarkStart w:id="9" w:name="_Toc195047166"/>
      <w:r w:rsidRPr="00062713">
        <w:rPr>
          <w:rFonts w:asciiTheme="minorHAnsi" w:hAnsiTheme="minorHAnsi"/>
          <w:b/>
          <w:bCs/>
        </w:rPr>
        <w:t xml:space="preserve">3.1. </w:t>
      </w:r>
      <w:r w:rsidR="00E81480" w:rsidRPr="00062713">
        <w:rPr>
          <w:rFonts w:cs="Calibri"/>
          <w:b/>
          <w:bCs/>
          <w:lang w:eastAsia="en-GB"/>
        </w:rPr>
        <w:t>Принципи и критериуми на зелено финансирање</w:t>
      </w:r>
      <w:bookmarkEnd w:id="9"/>
      <w:r w:rsidR="00E81480" w:rsidRPr="00062713">
        <w:rPr>
          <w:rFonts w:cs="Calibri"/>
          <w:b/>
          <w:bCs/>
          <w:lang w:eastAsia="en-GB"/>
        </w:rPr>
        <w:t xml:space="preserve"> </w:t>
      </w:r>
    </w:p>
    <w:p w14:paraId="45D9C135" w14:textId="77777777" w:rsidR="00E81480" w:rsidRPr="00062713" w:rsidRDefault="00E81480" w:rsidP="00E81480">
      <w:pPr>
        <w:spacing w:before="100" w:beforeAutospacing="1" w:after="100" w:afterAutospacing="1"/>
        <w:rPr>
          <w:rFonts w:cs="Calibri"/>
          <w:lang w:eastAsia="en-GB"/>
        </w:rPr>
      </w:pPr>
      <w:r w:rsidRPr="00062713">
        <w:rPr>
          <w:rFonts w:cs="Calibri"/>
          <w:lang w:eastAsia="en-GB"/>
        </w:rPr>
        <w:t>Зеленото финансирање се потпира на различни принципи и критериуми кои овозможуваат идентификација на инвестиции и проекти кои имаат позитивно влијание врз животната средина и општеството како целина. Целта е да се поддржат одржливите активности кои придонесуваат за намалување на негативното влијание врз планетата и подобрување на социјалните услови.</w:t>
      </w:r>
    </w:p>
    <w:p w14:paraId="1A39599F" w14:textId="2108C305" w:rsidR="00E81480" w:rsidRPr="00062713" w:rsidRDefault="00E81480" w:rsidP="00E81480">
      <w:pPr>
        <w:spacing w:before="100" w:beforeAutospacing="1" w:after="100" w:afterAutospacing="1"/>
        <w:outlineLvl w:val="2"/>
        <w:rPr>
          <w:rFonts w:cs="Calibri"/>
          <w:b/>
          <w:bCs/>
          <w:lang w:eastAsia="en-GB"/>
        </w:rPr>
      </w:pPr>
      <w:bookmarkStart w:id="10" w:name="_Toc195047167"/>
      <w:r w:rsidRPr="00062713">
        <w:rPr>
          <w:rFonts w:cs="Calibri"/>
          <w:b/>
          <w:bCs/>
          <w:lang w:eastAsia="en-GB"/>
        </w:rPr>
        <w:t>3.2. Критериуми за ESG (еколошки, социјални и владеење)</w:t>
      </w:r>
      <w:r w:rsidR="007E179E">
        <w:rPr>
          <w:rStyle w:val="FootnoteReference"/>
          <w:rFonts w:cs="Calibri"/>
          <w:b/>
          <w:bCs/>
          <w:lang w:eastAsia="en-GB"/>
        </w:rPr>
        <w:footnoteReference w:id="4"/>
      </w:r>
      <w:bookmarkEnd w:id="10"/>
    </w:p>
    <w:p w14:paraId="252FD93E" w14:textId="2EB0BD58" w:rsidR="00E81480" w:rsidRPr="00062713" w:rsidRDefault="00E81480" w:rsidP="00987EC1">
      <w:pPr>
        <w:spacing w:before="100" w:beforeAutospacing="1" w:after="100" w:afterAutospacing="1"/>
        <w:jc w:val="both"/>
        <w:rPr>
          <w:rFonts w:cs="Calibri"/>
          <w:lang w:eastAsia="en-GB"/>
        </w:rPr>
      </w:pPr>
      <w:r w:rsidRPr="00062713">
        <w:rPr>
          <w:rFonts w:cs="Calibri"/>
          <w:b/>
          <w:bCs/>
          <w:lang w:eastAsia="en-GB"/>
        </w:rPr>
        <w:t xml:space="preserve">ESG </w:t>
      </w:r>
      <w:r w:rsidRPr="00062713">
        <w:rPr>
          <w:rFonts w:cs="Calibri"/>
          <w:lang w:eastAsia="en-GB"/>
        </w:rPr>
        <w:t>(еколошки, социјални, управувачки) критериуми се реперни точки што се користат за проценка на одржливоста и општествената одговорност на компаниите. Овие критериуми им помагаат на инвеститорите да проценат како одредени активности и проекти можат да влијаат врз животната средина, општеството и начинот на кој се управуваат.</w:t>
      </w:r>
    </w:p>
    <w:p w14:paraId="37ADE702" w14:textId="23FD2D47" w:rsidR="00E81480" w:rsidRPr="007E179E" w:rsidRDefault="00E81480" w:rsidP="007E179E">
      <w:pPr>
        <w:jc w:val="both"/>
        <w:rPr>
          <w:rFonts w:cs="Calibri"/>
          <w:lang w:eastAsia="en-GB"/>
        </w:rPr>
      </w:pPr>
      <w:r w:rsidRPr="007E179E">
        <w:rPr>
          <w:rFonts w:cs="Calibri"/>
          <w:b/>
          <w:bCs/>
          <w:lang w:eastAsia="en-GB"/>
        </w:rPr>
        <w:t xml:space="preserve">Критериум за животна средина </w:t>
      </w:r>
      <w:r w:rsidRPr="007E179E">
        <w:rPr>
          <w:rFonts w:cs="Calibri"/>
          <w:lang w:eastAsia="en-GB"/>
        </w:rPr>
        <w:t>: Проектот за кој се бара финансирање мора да покаже јасно позитивно влијание врз животната средина, како што се намалување на емисиите на јаглерод диоксид, промовирање на обновливи извори на енергија, заштита на природните ресурси или зголемување на енергетската ефикасност. Затоа, овој критериум се фокусира на влијанието на проектите врз животната средина, како што се употребата на обновливи извори на енергија, намалувањето на штетните емисии, заштитата на биолошката разновидност и енергетската ефикасност.</w:t>
      </w:r>
    </w:p>
    <w:p w14:paraId="183A6465" w14:textId="77777777" w:rsidR="007E179E" w:rsidRDefault="007E179E" w:rsidP="007E179E">
      <w:pPr>
        <w:pStyle w:val="NoSpacing"/>
        <w:rPr>
          <w:b/>
          <w:lang w:eastAsia="en-GB"/>
        </w:rPr>
      </w:pPr>
    </w:p>
    <w:p w14:paraId="6DF0D7FD" w14:textId="6310D7F9" w:rsidR="00AB42C1" w:rsidRPr="007E179E" w:rsidRDefault="00AB42C1" w:rsidP="00987EC1">
      <w:pPr>
        <w:pStyle w:val="NoSpacing"/>
        <w:ind w:firstLine="360"/>
        <w:rPr>
          <w:b/>
          <w:lang w:eastAsia="en-GB"/>
        </w:rPr>
      </w:pPr>
      <w:r w:rsidRPr="007E179E">
        <w:rPr>
          <w:b/>
          <w:lang w:eastAsia="en-GB"/>
        </w:rPr>
        <w:t>Примери на прашања за самоевалуација на еколошките критериуми на проектот:</w:t>
      </w:r>
    </w:p>
    <w:p w14:paraId="775F9058" w14:textId="77777777" w:rsidR="00AB42C1" w:rsidRPr="00AB42C1" w:rsidRDefault="00AB42C1" w:rsidP="004A1DB8">
      <w:pPr>
        <w:pStyle w:val="NoSpacing"/>
        <w:numPr>
          <w:ilvl w:val="0"/>
          <w:numId w:val="5"/>
        </w:numPr>
        <w:rPr>
          <w:lang w:eastAsia="en-GB"/>
        </w:rPr>
      </w:pPr>
      <w:r w:rsidRPr="00AB42C1">
        <w:rPr>
          <w:lang w:eastAsia="en-GB"/>
        </w:rPr>
        <w:t>Дали ја следиме и намалуваме потрошувачката на енергија и вода?</w:t>
      </w:r>
      <w:r w:rsidRPr="00AB42C1">
        <w:rPr>
          <w:lang w:eastAsia="en-GB"/>
        </w:rPr>
        <w:tab/>
      </w:r>
      <w:r w:rsidRPr="00AB42C1">
        <w:rPr>
          <w:lang w:eastAsia="en-GB"/>
        </w:rPr>
        <w:tab/>
      </w:r>
    </w:p>
    <w:p w14:paraId="28317323" w14:textId="77777777" w:rsidR="00AB42C1" w:rsidRPr="00AB42C1" w:rsidRDefault="00AB42C1" w:rsidP="004A1DB8">
      <w:pPr>
        <w:pStyle w:val="NoSpacing"/>
        <w:numPr>
          <w:ilvl w:val="0"/>
          <w:numId w:val="5"/>
        </w:numPr>
        <w:rPr>
          <w:lang w:eastAsia="en-GB"/>
        </w:rPr>
      </w:pPr>
      <w:r w:rsidRPr="00AB42C1">
        <w:rPr>
          <w:lang w:eastAsia="en-GB"/>
        </w:rPr>
        <w:t>Дали управуваме со отпадот на еколошки начин?</w:t>
      </w:r>
      <w:r w:rsidRPr="00AB42C1">
        <w:rPr>
          <w:lang w:eastAsia="en-GB"/>
        </w:rPr>
        <w:tab/>
      </w:r>
      <w:r w:rsidRPr="00AB42C1">
        <w:rPr>
          <w:lang w:eastAsia="en-GB"/>
        </w:rPr>
        <w:tab/>
      </w:r>
    </w:p>
    <w:p w14:paraId="2E69DCE0" w14:textId="069F7AAD" w:rsidR="00AB42C1" w:rsidRDefault="00AB42C1" w:rsidP="004A1DB8">
      <w:pPr>
        <w:pStyle w:val="NoSpacing"/>
        <w:numPr>
          <w:ilvl w:val="0"/>
          <w:numId w:val="5"/>
        </w:numPr>
        <w:rPr>
          <w:lang w:eastAsia="en-GB"/>
        </w:rPr>
      </w:pPr>
      <w:r w:rsidRPr="00AB42C1">
        <w:rPr>
          <w:lang w:eastAsia="en-GB"/>
        </w:rPr>
        <w:t>Имаме ли стратегија за намалување на емисиите на стакленички гасови?</w:t>
      </w:r>
    </w:p>
    <w:p w14:paraId="391559BB" w14:textId="77777777" w:rsidR="00987EC1" w:rsidRDefault="00987EC1" w:rsidP="00987EC1">
      <w:pPr>
        <w:pStyle w:val="NoSpacing"/>
        <w:rPr>
          <w:lang w:eastAsia="en-GB"/>
        </w:rPr>
      </w:pPr>
    </w:p>
    <w:p w14:paraId="0FFC7901" w14:textId="4D064B05" w:rsidR="00987EC1" w:rsidRPr="00987EC1" w:rsidRDefault="00987EC1" w:rsidP="00987EC1">
      <w:pPr>
        <w:pStyle w:val="NoSpacing"/>
        <w:ind w:firstLine="349"/>
        <w:rPr>
          <w:b/>
          <w:lang w:eastAsia="en-GB"/>
        </w:rPr>
      </w:pPr>
      <w:r w:rsidRPr="00987EC1">
        <w:rPr>
          <w:b/>
          <w:lang w:eastAsia="en-GB"/>
        </w:rPr>
        <w:t>Примери за добра практика:</w:t>
      </w:r>
    </w:p>
    <w:p w14:paraId="0FE5E80F" w14:textId="03201F59" w:rsidR="00987EC1" w:rsidRDefault="00987EC1" w:rsidP="004A1DB8">
      <w:pPr>
        <w:pStyle w:val="NoSpacing"/>
        <w:numPr>
          <w:ilvl w:val="0"/>
          <w:numId w:val="8"/>
        </w:numPr>
        <w:ind w:left="709"/>
        <w:rPr>
          <w:lang w:eastAsia="en-GB"/>
        </w:rPr>
      </w:pPr>
      <w:r>
        <w:rPr>
          <w:lang w:eastAsia="en-GB"/>
        </w:rPr>
        <w:t>Инсталација на соларни панели.</w:t>
      </w:r>
    </w:p>
    <w:p w14:paraId="768C30D2" w14:textId="025F4698" w:rsidR="00987EC1" w:rsidRDefault="00987EC1" w:rsidP="004A1DB8">
      <w:pPr>
        <w:pStyle w:val="NoSpacing"/>
        <w:numPr>
          <w:ilvl w:val="0"/>
          <w:numId w:val="8"/>
        </w:numPr>
        <w:ind w:left="709"/>
        <w:rPr>
          <w:lang w:eastAsia="en-GB"/>
        </w:rPr>
      </w:pPr>
      <w:r>
        <w:rPr>
          <w:lang w:eastAsia="en-GB"/>
        </w:rPr>
        <w:t>Употреба на рециклирани или биоразградливи материјали.</w:t>
      </w:r>
    </w:p>
    <w:p w14:paraId="2F31F7F2" w14:textId="0578D91C" w:rsidR="007E179E" w:rsidRDefault="00987EC1" w:rsidP="004A1DB8">
      <w:pPr>
        <w:pStyle w:val="NoSpacing"/>
        <w:numPr>
          <w:ilvl w:val="0"/>
          <w:numId w:val="8"/>
        </w:numPr>
        <w:ind w:left="709"/>
        <w:rPr>
          <w:lang w:eastAsia="en-GB"/>
        </w:rPr>
      </w:pPr>
      <w:r>
        <w:rPr>
          <w:lang w:eastAsia="en-GB"/>
        </w:rPr>
        <w:t>Намалување на потрошувачката на вода во производството.</w:t>
      </w:r>
    </w:p>
    <w:p w14:paraId="082DB5EE" w14:textId="77777777" w:rsidR="00987EC1" w:rsidRPr="00AB42C1" w:rsidRDefault="00987EC1" w:rsidP="00987EC1">
      <w:pPr>
        <w:pStyle w:val="NoSpacing"/>
        <w:ind w:left="1440"/>
        <w:rPr>
          <w:lang w:eastAsia="en-GB"/>
        </w:rPr>
      </w:pPr>
    </w:p>
    <w:p w14:paraId="2583F625" w14:textId="1A2BEF7B" w:rsidR="00E81480" w:rsidRPr="007E179E" w:rsidRDefault="00E81480" w:rsidP="00987EC1">
      <w:pPr>
        <w:jc w:val="both"/>
        <w:rPr>
          <w:rFonts w:cs="Calibri"/>
          <w:lang w:eastAsia="en-GB"/>
        </w:rPr>
      </w:pPr>
      <w:r w:rsidRPr="007E179E">
        <w:rPr>
          <w:rFonts w:cs="Calibri"/>
          <w:b/>
          <w:bCs/>
          <w:lang w:eastAsia="en-GB"/>
        </w:rPr>
        <w:t xml:space="preserve">Социјален критериум </w:t>
      </w:r>
      <w:r w:rsidRPr="007E179E">
        <w:rPr>
          <w:rFonts w:cs="Calibri"/>
          <w:lang w:eastAsia="en-GB"/>
        </w:rPr>
        <w:t>: Проценка за тоа како проектот влијае на заедницата, работните услови, човековите права и безбедноста при работа. Проектите кои ги подобруваат животните услови, создаваат работни места и промовираат еднаквост може да добијат повисока оцена. Оттука, проектот треба да има позитивно влијание врз општеството, како што се подобри услови за живот на заедницата, создавање одржливи работни места или подобрување на јавното здравје.</w:t>
      </w:r>
    </w:p>
    <w:p w14:paraId="68FB15A2" w14:textId="77777777" w:rsidR="007E179E" w:rsidRDefault="007E179E" w:rsidP="007E179E">
      <w:pPr>
        <w:pStyle w:val="NoSpacing"/>
        <w:rPr>
          <w:b/>
          <w:lang w:eastAsia="en-GB"/>
        </w:rPr>
      </w:pPr>
    </w:p>
    <w:p w14:paraId="2F1F92EE" w14:textId="7969C016" w:rsidR="00F246C0" w:rsidRPr="007E179E" w:rsidRDefault="00F246C0" w:rsidP="00987EC1">
      <w:pPr>
        <w:pStyle w:val="NoSpacing"/>
        <w:ind w:firstLine="360"/>
        <w:rPr>
          <w:b/>
          <w:lang w:eastAsia="en-GB"/>
        </w:rPr>
      </w:pPr>
      <w:r w:rsidRPr="007E179E">
        <w:rPr>
          <w:b/>
          <w:lang w:eastAsia="en-GB"/>
        </w:rPr>
        <w:t>Примери на прашања за самоевалуација на социјалните критериуми на проект:</w:t>
      </w:r>
    </w:p>
    <w:p w14:paraId="0FEF9DAB" w14:textId="77777777" w:rsidR="00F246C0" w:rsidRPr="00F246C0" w:rsidRDefault="00F246C0" w:rsidP="004A1DB8">
      <w:pPr>
        <w:pStyle w:val="NoSpacing"/>
        <w:numPr>
          <w:ilvl w:val="0"/>
          <w:numId w:val="6"/>
        </w:numPr>
        <w:rPr>
          <w:lang w:eastAsia="en-GB"/>
        </w:rPr>
      </w:pPr>
      <w:r w:rsidRPr="00F246C0">
        <w:rPr>
          <w:lang w:eastAsia="en-GB"/>
        </w:rPr>
        <w:t>Дали обезбедуваме фер услови за работа и еднаквост?</w:t>
      </w:r>
      <w:r w:rsidRPr="00F246C0">
        <w:rPr>
          <w:lang w:eastAsia="en-GB"/>
        </w:rPr>
        <w:tab/>
      </w:r>
      <w:r w:rsidRPr="00F246C0">
        <w:rPr>
          <w:lang w:eastAsia="en-GB"/>
        </w:rPr>
        <w:tab/>
      </w:r>
    </w:p>
    <w:p w14:paraId="768065E3" w14:textId="77777777" w:rsidR="00F246C0" w:rsidRPr="00F246C0" w:rsidRDefault="00F246C0" w:rsidP="004A1DB8">
      <w:pPr>
        <w:pStyle w:val="NoSpacing"/>
        <w:numPr>
          <w:ilvl w:val="0"/>
          <w:numId w:val="6"/>
        </w:numPr>
        <w:rPr>
          <w:lang w:eastAsia="en-GB"/>
        </w:rPr>
      </w:pPr>
      <w:r w:rsidRPr="00F246C0">
        <w:rPr>
          <w:lang w:eastAsia="en-GB"/>
        </w:rPr>
        <w:t>Дали има механизми за обука и повратни информации за вработените?</w:t>
      </w:r>
      <w:r w:rsidRPr="00F246C0">
        <w:rPr>
          <w:lang w:eastAsia="en-GB"/>
        </w:rPr>
        <w:tab/>
      </w:r>
      <w:r w:rsidRPr="00F246C0">
        <w:rPr>
          <w:lang w:eastAsia="en-GB"/>
        </w:rPr>
        <w:tab/>
      </w:r>
    </w:p>
    <w:p w14:paraId="3589520C" w14:textId="36D19B38" w:rsidR="00F246C0" w:rsidRPr="00F246C0" w:rsidRDefault="00F246C0" w:rsidP="004A1DB8">
      <w:pPr>
        <w:pStyle w:val="NoSpacing"/>
        <w:numPr>
          <w:ilvl w:val="0"/>
          <w:numId w:val="6"/>
        </w:numPr>
        <w:rPr>
          <w:lang w:eastAsia="en-GB"/>
        </w:rPr>
      </w:pPr>
      <w:r w:rsidRPr="00F246C0">
        <w:rPr>
          <w:lang w:eastAsia="en-GB"/>
        </w:rPr>
        <w:t>Дали соработуваме со заедницата или со локални партнери?</w:t>
      </w:r>
    </w:p>
    <w:p w14:paraId="0350AF05" w14:textId="77777777" w:rsidR="00987EC1" w:rsidRDefault="00987EC1" w:rsidP="00987EC1">
      <w:pPr>
        <w:pStyle w:val="NoSpacing"/>
        <w:rPr>
          <w:lang w:eastAsia="en-GB"/>
        </w:rPr>
      </w:pPr>
    </w:p>
    <w:p w14:paraId="0FFD7EB1" w14:textId="2B3AA174" w:rsidR="00987EC1" w:rsidRPr="00987EC1" w:rsidRDefault="00987EC1" w:rsidP="00987EC1">
      <w:pPr>
        <w:pStyle w:val="NoSpacing"/>
        <w:ind w:firstLine="360"/>
        <w:rPr>
          <w:b/>
          <w:lang w:eastAsia="en-GB"/>
        </w:rPr>
      </w:pPr>
      <w:r w:rsidRPr="00987EC1">
        <w:rPr>
          <w:b/>
          <w:lang w:eastAsia="en-GB"/>
        </w:rPr>
        <w:t>Примери за добра практика:</w:t>
      </w:r>
    </w:p>
    <w:p w14:paraId="23DB92FA" w14:textId="77777777" w:rsidR="00987EC1" w:rsidRDefault="00987EC1" w:rsidP="004A1DB8">
      <w:pPr>
        <w:pStyle w:val="NoSpacing"/>
        <w:numPr>
          <w:ilvl w:val="0"/>
          <w:numId w:val="9"/>
        </w:numPr>
        <w:rPr>
          <w:lang w:eastAsia="en-GB"/>
        </w:rPr>
      </w:pPr>
      <w:r w:rsidRPr="00987EC1">
        <w:rPr>
          <w:lang w:eastAsia="en-GB"/>
        </w:rPr>
        <w:t>Обезбедување обука за вработените.</w:t>
      </w:r>
    </w:p>
    <w:p w14:paraId="0D30FBDA" w14:textId="77777777" w:rsidR="00987EC1" w:rsidRDefault="00987EC1" w:rsidP="004A1DB8">
      <w:pPr>
        <w:pStyle w:val="NoSpacing"/>
        <w:numPr>
          <w:ilvl w:val="0"/>
          <w:numId w:val="9"/>
        </w:numPr>
        <w:rPr>
          <w:lang w:eastAsia="en-GB"/>
        </w:rPr>
      </w:pPr>
      <w:r w:rsidRPr="00987EC1">
        <w:rPr>
          <w:lang w:eastAsia="en-GB"/>
        </w:rPr>
        <w:t>Соработка со локални добавувачи.</w:t>
      </w:r>
    </w:p>
    <w:p w14:paraId="1DAEC4A8" w14:textId="33CE521D" w:rsidR="00987EC1" w:rsidRPr="00987EC1" w:rsidRDefault="00987EC1" w:rsidP="004A1DB8">
      <w:pPr>
        <w:pStyle w:val="NoSpacing"/>
        <w:numPr>
          <w:ilvl w:val="0"/>
          <w:numId w:val="9"/>
        </w:numPr>
        <w:rPr>
          <w:lang w:eastAsia="en-GB"/>
        </w:rPr>
      </w:pPr>
      <w:r w:rsidRPr="00987EC1">
        <w:rPr>
          <w:lang w:eastAsia="en-GB"/>
        </w:rPr>
        <w:t>Поддржете ги локалните заедници преку донации или волонтерски акции.</w:t>
      </w:r>
    </w:p>
    <w:p w14:paraId="5286A8AE" w14:textId="29AE458C" w:rsidR="00E81480" w:rsidRDefault="00E81480" w:rsidP="007E179E">
      <w:pPr>
        <w:spacing w:before="100" w:beforeAutospacing="1" w:after="100" w:afterAutospacing="1"/>
        <w:jc w:val="both"/>
        <w:rPr>
          <w:rFonts w:cs="Calibri"/>
          <w:lang w:eastAsia="en-GB"/>
        </w:rPr>
      </w:pPr>
      <w:r w:rsidRPr="00062713">
        <w:rPr>
          <w:rFonts w:cs="Calibri"/>
          <w:b/>
          <w:bCs/>
          <w:lang w:eastAsia="en-GB"/>
        </w:rPr>
        <w:t xml:space="preserve">Критериум за управување </w:t>
      </w:r>
      <w:r w:rsidRPr="00062713">
        <w:rPr>
          <w:rFonts w:cs="Calibri"/>
          <w:lang w:eastAsia="en-GB"/>
        </w:rPr>
        <w:t>: Проценка на добро корпоративно управување, транспарентност и етички практики. Доброто управување со проекти е клучно за успешно спроведување на зелените иницијативи. Ова вклучува транспарентност, ефикасност во користењето на ресурсите и навремено известување за напредокот на проектот. Проектите кои обезбедуваат јасна структура на управување и усогласеност со меѓународните стандарди имаат поголеми шанси да добијат зелени финансиски стимулации.</w:t>
      </w:r>
    </w:p>
    <w:p w14:paraId="19212B76" w14:textId="065D1A6F" w:rsidR="00F246C0" w:rsidRPr="007E179E" w:rsidRDefault="00F246C0" w:rsidP="00987EC1">
      <w:pPr>
        <w:pStyle w:val="NoSpacing"/>
        <w:ind w:firstLine="360"/>
        <w:rPr>
          <w:b/>
          <w:lang w:eastAsia="en-GB"/>
        </w:rPr>
      </w:pPr>
      <w:r w:rsidRPr="007E179E">
        <w:rPr>
          <w:b/>
          <w:lang w:eastAsia="en-GB"/>
        </w:rPr>
        <w:t>Примери на прашања за самоевалуација на критериумите за управување со проекти:</w:t>
      </w:r>
    </w:p>
    <w:p w14:paraId="39CD8B57" w14:textId="77777777" w:rsidR="00F246C0" w:rsidRPr="00F246C0" w:rsidRDefault="00F246C0" w:rsidP="004A1DB8">
      <w:pPr>
        <w:pStyle w:val="NoSpacing"/>
        <w:numPr>
          <w:ilvl w:val="0"/>
          <w:numId w:val="7"/>
        </w:numPr>
        <w:rPr>
          <w:lang w:eastAsia="en-GB"/>
        </w:rPr>
      </w:pPr>
      <w:r w:rsidRPr="00F246C0">
        <w:rPr>
          <w:lang w:eastAsia="en-GB"/>
        </w:rPr>
        <w:t>Дали имаме усвоено политики за транспарентност и етика?</w:t>
      </w:r>
      <w:r w:rsidRPr="00F246C0">
        <w:rPr>
          <w:lang w:eastAsia="en-GB"/>
        </w:rPr>
        <w:tab/>
      </w:r>
      <w:r w:rsidRPr="00F246C0">
        <w:rPr>
          <w:lang w:eastAsia="en-GB"/>
        </w:rPr>
        <w:tab/>
      </w:r>
    </w:p>
    <w:p w14:paraId="1D675E1A" w14:textId="77777777" w:rsidR="00F246C0" w:rsidRPr="00F246C0" w:rsidRDefault="00F246C0" w:rsidP="004A1DB8">
      <w:pPr>
        <w:pStyle w:val="NoSpacing"/>
        <w:numPr>
          <w:ilvl w:val="0"/>
          <w:numId w:val="7"/>
        </w:numPr>
        <w:rPr>
          <w:lang w:eastAsia="en-GB"/>
        </w:rPr>
      </w:pPr>
      <w:r w:rsidRPr="00F246C0">
        <w:rPr>
          <w:lang w:eastAsia="en-GB"/>
        </w:rPr>
        <w:t>Дали раководната структура обезбедува добра контрола и надзор?</w:t>
      </w:r>
      <w:r w:rsidRPr="00F246C0">
        <w:rPr>
          <w:lang w:eastAsia="en-GB"/>
        </w:rPr>
        <w:tab/>
      </w:r>
      <w:r w:rsidRPr="00F246C0">
        <w:rPr>
          <w:lang w:eastAsia="en-GB"/>
        </w:rPr>
        <w:tab/>
      </w:r>
    </w:p>
    <w:p w14:paraId="1753CAA5" w14:textId="16982FC8" w:rsidR="00F246C0" w:rsidRDefault="00F246C0" w:rsidP="004A1DB8">
      <w:pPr>
        <w:pStyle w:val="NoSpacing"/>
        <w:numPr>
          <w:ilvl w:val="0"/>
          <w:numId w:val="7"/>
        </w:numPr>
        <w:rPr>
          <w:lang w:eastAsia="en-GB"/>
        </w:rPr>
      </w:pPr>
      <w:r w:rsidRPr="00F246C0">
        <w:rPr>
          <w:lang w:eastAsia="en-GB"/>
        </w:rPr>
        <w:t>Дали постојат внатрешни механизми за проценка на ризик и донесување одлуки?</w:t>
      </w:r>
    </w:p>
    <w:p w14:paraId="6C7D9B9D" w14:textId="4D5CAE2A" w:rsidR="007E179E" w:rsidRDefault="007E179E" w:rsidP="007E179E">
      <w:pPr>
        <w:pStyle w:val="NoSpacing"/>
        <w:rPr>
          <w:lang w:eastAsia="en-GB"/>
        </w:rPr>
      </w:pPr>
    </w:p>
    <w:p w14:paraId="6BEC0E4B" w14:textId="18AE2653" w:rsidR="00987EC1" w:rsidRPr="00987EC1" w:rsidRDefault="00987EC1" w:rsidP="00987EC1">
      <w:pPr>
        <w:pStyle w:val="NoSpacing"/>
        <w:ind w:firstLine="360"/>
        <w:rPr>
          <w:b/>
        </w:rPr>
      </w:pPr>
      <w:r w:rsidRPr="00987EC1">
        <w:rPr>
          <w:b/>
        </w:rPr>
        <w:t>Примери за добра практика:</w:t>
      </w:r>
    </w:p>
    <w:p w14:paraId="7F8201B6" w14:textId="6C010CF9" w:rsidR="00987EC1" w:rsidRPr="00987EC1" w:rsidRDefault="00987EC1" w:rsidP="004A1DB8">
      <w:pPr>
        <w:pStyle w:val="NoSpacing"/>
        <w:numPr>
          <w:ilvl w:val="0"/>
          <w:numId w:val="10"/>
        </w:numPr>
      </w:pPr>
      <w:r w:rsidRPr="00987EC1">
        <w:t>Редовно објавување на финансиски извештаи и извештаи за одржливост.</w:t>
      </w:r>
    </w:p>
    <w:p w14:paraId="4AA92A0E" w14:textId="7F5BAFF4" w:rsidR="00987EC1" w:rsidRPr="00987EC1" w:rsidRDefault="00987EC1" w:rsidP="004A1DB8">
      <w:pPr>
        <w:pStyle w:val="NoSpacing"/>
        <w:numPr>
          <w:ilvl w:val="0"/>
          <w:numId w:val="10"/>
        </w:numPr>
      </w:pPr>
      <w:r w:rsidRPr="00987EC1">
        <w:t>Воспоставен етички кодекс.</w:t>
      </w:r>
    </w:p>
    <w:p w14:paraId="08CA84D7" w14:textId="56BF3526" w:rsidR="00987EC1" w:rsidRDefault="00987EC1" w:rsidP="004A1DB8">
      <w:pPr>
        <w:pStyle w:val="NoSpacing"/>
        <w:numPr>
          <w:ilvl w:val="0"/>
          <w:numId w:val="10"/>
        </w:numPr>
        <w:rPr>
          <w:lang w:eastAsia="en-GB"/>
        </w:rPr>
      </w:pPr>
      <w:r w:rsidRPr="00987EC1">
        <w:t xml:space="preserve">Воведување на систем за управување со ризик </w:t>
      </w:r>
      <w:r w:rsidRPr="00987EC1">
        <w:rPr>
          <w:lang w:eastAsia="en-GB"/>
        </w:rPr>
        <w:t>.</w:t>
      </w:r>
    </w:p>
    <w:p w14:paraId="0B844C0A" w14:textId="77777777" w:rsidR="00987EC1" w:rsidRDefault="00987EC1" w:rsidP="00987EC1">
      <w:pPr>
        <w:pStyle w:val="NoSpacing"/>
        <w:rPr>
          <w:b/>
          <w:lang w:eastAsia="en-GB"/>
        </w:rPr>
      </w:pPr>
    </w:p>
    <w:p w14:paraId="7C46BD5A" w14:textId="5C56DDB5" w:rsidR="00987EC1" w:rsidRPr="00987EC1" w:rsidRDefault="00987EC1" w:rsidP="00987EC1">
      <w:pPr>
        <w:pStyle w:val="NoSpacing"/>
        <w:rPr>
          <w:b/>
          <w:lang w:eastAsia="en-GB"/>
        </w:rPr>
      </w:pPr>
      <w:r w:rsidRPr="00987EC1">
        <w:rPr>
          <w:b/>
          <w:lang w:eastAsia="en-GB"/>
        </w:rPr>
        <w:t>Зошто критериумите за ESG се важни за МСП?</w:t>
      </w:r>
    </w:p>
    <w:p w14:paraId="39851BBE" w14:textId="77777777" w:rsidR="00987EC1" w:rsidRDefault="00987EC1" w:rsidP="00987EC1">
      <w:pPr>
        <w:pStyle w:val="NoSpacing"/>
        <w:rPr>
          <w:lang w:eastAsia="en-GB"/>
        </w:rPr>
      </w:pPr>
    </w:p>
    <w:p w14:paraId="40DB2B25" w14:textId="1F9F3370" w:rsidR="00987EC1" w:rsidRDefault="00987EC1" w:rsidP="004A1DB8">
      <w:pPr>
        <w:pStyle w:val="NoSpacing"/>
        <w:numPr>
          <w:ilvl w:val="0"/>
          <w:numId w:val="11"/>
        </w:numPr>
        <w:jc w:val="both"/>
        <w:rPr>
          <w:lang w:eastAsia="en-GB"/>
        </w:rPr>
      </w:pPr>
      <w:r>
        <w:rPr>
          <w:lang w:eastAsia="en-GB"/>
        </w:rPr>
        <w:t>Зголемување на шансите за добивање зелено финансирање – Фондовите, банките и донаторите се повеќе бараат докази за социјална и еколошка одговорност.</w:t>
      </w:r>
    </w:p>
    <w:p w14:paraId="78BDF0AC" w14:textId="38DE00F8" w:rsidR="00987EC1" w:rsidRDefault="00987EC1" w:rsidP="004A1DB8">
      <w:pPr>
        <w:pStyle w:val="NoSpacing"/>
        <w:numPr>
          <w:ilvl w:val="0"/>
          <w:numId w:val="11"/>
        </w:numPr>
        <w:jc w:val="both"/>
        <w:rPr>
          <w:lang w:eastAsia="en-GB"/>
        </w:rPr>
      </w:pPr>
      <w:r>
        <w:rPr>
          <w:lang w:eastAsia="en-GB"/>
        </w:rPr>
        <w:t>Зајакнете го имиџот и довербата – Клиентите и партнерите претпочитаат да соработуваат со одговорни компании.</w:t>
      </w:r>
    </w:p>
    <w:p w14:paraId="5284FD94" w14:textId="37D8025C" w:rsidR="00987EC1" w:rsidRDefault="00987EC1" w:rsidP="004A1DB8">
      <w:pPr>
        <w:pStyle w:val="NoSpacing"/>
        <w:numPr>
          <w:ilvl w:val="0"/>
          <w:numId w:val="11"/>
        </w:numPr>
        <w:jc w:val="both"/>
        <w:rPr>
          <w:lang w:eastAsia="en-GB"/>
        </w:rPr>
      </w:pPr>
      <w:r>
        <w:rPr>
          <w:lang w:eastAsia="en-GB"/>
        </w:rPr>
        <w:t>Намалете ги трошоците и ризиците – Енергетската ефикасност, доброто управување и задоволните вработени директно влијаат на продуктивноста и профитабилноста.</w:t>
      </w:r>
    </w:p>
    <w:p w14:paraId="77925FE4" w14:textId="74DF5C36" w:rsidR="00987EC1" w:rsidRPr="00F246C0" w:rsidRDefault="00987EC1" w:rsidP="004A1DB8">
      <w:pPr>
        <w:pStyle w:val="NoSpacing"/>
        <w:numPr>
          <w:ilvl w:val="0"/>
          <w:numId w:val="11"/>
        </w:numPr>
        <w:jc w:val="both"/>
        <w:rPr>
          <w:lang w:eastAsia="en-GB"/>
        </w:rPr>
      </w:pPr>
      <w:r>
        <w:rPr>
          <w:lang w:eastAsia="en-GB"/>
        </w:rPr>
        <w:t>Подгответе компанија за иднината – ESG практиките им помагаат на компаниите да се прилагодат на сè построгите регулативи и барањата на пазарот.</w:t>
      </w:r>
    </w:p>
    <w:p w14:paraId="130200BE" w14:textId="4BDEEE06" w:rsidR="00E81480" w:rsidRPr="00062713" w:rsidRDefault="00E81480" w:rsidP="00E81480">
      <w:pPr>
        <w:spacing w:before="100" w:beforeAutospacing="1" w:after="100" w:afterAutospacing="1"/>
        <w:outlineLvl w:val="2"/>
        <w:rPr>
          <w:rFonts w:cs="Calibri"/>
          <w:b/>
          <w:bCs/>
          <w:lang w:eastAsia="en-GB"/>
        </w:rPr>
      </w:pPr>
      <w:bookmarkStart w:id="11" w:name="_Toc195047168"/>
      <w:r w:rsidRPr="00062713">
        <w:rPr>
          <w:rFonts w:cs="Calibri"/>
          <w:b/>
          <w:bCs/>
          <w:lang w:eastAsia="en-GB"/>
        </w:rPr>
        <w:t>3.3. Таксономија на ЕУ и стандарди за одржливо финансирање</w:t>
      </w:r>
      <w:r w:rsidR="00CB1446">
        <w:rPr>
          <w:rStyle w:val="FootnoteReference"/>
          <w:rFonts w:cs="Calibri"/>
          <w:b/>
          <w:bCs/>
          <w:lang w:eastAsia="en-GB"/>
        </w:rPr>
        <w:footnoteReference w:id="5"/>
      </w:r>
      <w:bookmarkEnd w:id="11"/>
    </w:p>
    <w:p w14:paraId="7513B038" w14:textId="7F3C6AEC" w:rsidR="00CB1446" w:rsidRPr="00CB1446" w:rsidRDefault="00E81480" w:rsidP="00CB1446">
      <w:pPr>
        <w:spacing w:before="100" w:beforeAutospacing="1" w:after="100" w:afterAutospacing="1"/>
        <w:jc w:val="both"/>
        <w:rPr>
          <w:rFonts w:cs="Calibri"/>
          <w:lang w:eastAsia="en-GB"/>
        </w:rPr>
      </w:pPr>
      <w:r w:rsidRPr="00062713">
        <w:rPr>
          <w:rFonts w:cs="Calibri"/>
          <w:b/>
          <w:bCs/>
          <w:lang w:eastAsia="en-GB"/>
        </w:rPr>
        <w:t xml:space="preserve">Таксономијата на ЕУ </w:t>
      </w:r>
      <w:r w:rsidRPr="00062713">
        <w:rPr>
          <w:rFonts w:cs="Calibri"/>
          <w:lang w:eastAsia="en-GB"/>
        </w:rPr>
        <w:t xml:space="preserve">е систем на класификација кој одредува кои економски активности може да се сметаат за „одржливи“ од еколошка гледна точка. Оваа таксономија им помага на инвеститорите, компаниите и јавните власти да направат разлика помеѓу активностите кои имаат реално позитивно влијание врз животната средина и оние кои немаат. </w:t>
      </w:r>
      <w:r w:rsidR="00CB1446" w:rsidRPr="001B0353">
        <w:rPr>
          <w:rFonts w:cs="Calibri"/>
          <w:lang w:eastAsia="en-GB"/>
        </w:rPr>
        <w:t xml:space="preserve">Официјалниот систем на Европската унија го дефинира она што се смета за „одржлива економска активност“ </w:t>
      </w:r>
      <w:r w:rsidR="00CB1446" w:rsidRPr="00CB1446">
        <w:rPr>
          <w:rFonts w:cs="Calibri"/>
          <w:bCs/>
          <w:lang w:eastAsia="en-GB"/>
        </w:rPr>
        <w:t xml:space="preserve">. </w:t>
      </w:r>
      <w:r w:rsidR="00CB1446" w:rsidRPr="001B0353">
        <w:rPr>
          <w:rFonts w:cs="Calibri"/>
          <w:lang w:eastAsia="en-GB"/>
        </w:rPr>
        <w:t xml:space="preserve">Во суштина, тоа е </w:t>
      </w:r>
      <w:r w:rsidR="00CB1446" w:rsidRPr="001B0353">
        <w:rPr>
          <w:rFonts w:cs="Calibri"/>
          <w:bCs/>
          <w:lang w:eastAsia="en-GB"/>
        </w:rPr>
        <w:t xml:space="preserve">рамка за класификација </w:t>
      </w:r>
      <w:r w:rsidR="00CB1446" w:rsidRPr="001B0353">
        <w:rPr>
          <w:rFonts w:cs="Calibri"/>
          <w:lang w:eastAsia="en-GB"/>
        </w:rPr>
        <w:t xml:space="preserve">која јасно кажува: </w:t>
      </w:r>
      <w:r w:rsidR="00CB1446" w:rsidRPr="001B0353">
        <w:rPr>
          <w:rFonts w:cs="Calibri"/>
          <w:i/>
          <w:iCs/>
          <w:lang w:eastAsia="en-GB"/>
        </w:rPr>
        <w:t xml:space="preserve">Која активност се смета за зелена, под кои услови и зошто. </w:t>
      </w:r>
      <w:r w:rsidR="00CB1446" w:rsidRPr="00BA4F59">
        <w:rPr>
          <w:rFonts w:cs="Calibri"/>
          <w:lang w:eastAsia="en-GB"/>
        </w:rPr>
        <w:t>Таксономијата на ЕУ дозволува усогласување на критериумите низ Европа - што всушност значи „зелено“ во бизнисот.</w:t>
      </w:r>
    </w:p>
    <w:p w14:paraId="0F5C57FF" w14:textId="77777777" w:rsidR="00CB1446" w:rsidRPr="00BA4F59" w:rsidRDefault="00CB1446" w:rsidP="00CB1446">
      <w:pPr>
        <w:spacing w:before="100" w:beforeAutospacing="1" w:after="100" w:afterAutospacing="1"/>
        <w:jc w:val="both"/>
        <w:rPr>
          <w:rFonts w:cs="Calibri"/>
          <w:lang w:eastAsia="en-GB"/>
        </w:rPr>
      </w:pPr>
      <w:r w:rsidRPr="00BA4F59">
        <w:rPr>
          <w:rFonts w:cs="Calibri"/>
          <w:lang w:eastAsia="en-GB"/>
        </w:rPr>
        <w:t>Иако првично беше дизајнирана за големи компании и финансиски институции, таксономијата на ЕУ станува сè порелевантна за МСП, бидејќи: банките и фондовите ги користат овие правила за да проценат дали да финансираат МСП, МСП во синџирот на снабдување на поголемите компании треба да покажат усогласеност, употребата на зелени фондови и јавните стимулации често зависи од усогласеноста со овие стандарди.</w:t>
      </w:r>
    </w:p>
    <w:p w14:paraId="7891D6E6" w14:textId="77777777" w:rsidR="00A43327" w:rsidRDefault="00A43327" w:rsidP="00CB1446">
      <w:pPr>
        <w:spacing w:before="100" w:beforeAutospacing="1" w:after="100" w:afterAutospacing="1"/>
        <w:rPr>
          <w:rFonts w:cs="Calibri"/>
          <w:lang w:eastAsia="en-GB"/>
        </w:rPr>
      </w:pPr>
    </w:p>
    <w:p w14:paraId="64A88AA8" w14:textId="170010D1" w:rsidR="00CB1446" w:rsidRPr="001B0353" w:rsidRDefault="00CB1446" w:rsidP="00CB1446">
      <w:pPr>
        <w:spacing w:before="100" w:beforeAutospacing="1" w:after="100" w:afterAutospacing="1"/>
        <w:rPr>
          <w:rFonts w:cs="Calibri"/>
          <w:lang w:eastAsia="en-GB"/>
        </w:rPr>
      </w:pPr>
      <w:r w:rsidRPr="00BA4F59">
        <w:rPr>
          <w:rFonts w:cs="Calibri"/>
          <w:lang w:eastAsia="en-GB"/>
        </w:rPr>
        <w:t>За една активност да се смета за „зелена“, таа мора значително да придонесе за барем една од овие еколошки цели и да не предизвикува значителна штета на другите:</w:t>
      </w:r>
    </w:p>
    <w:p w14:paraId="30DC31A3" w14:textId="77777777" w:rsidR="00CB1446" w:rsidRPr="001B0353" w:rsidRDefault="00CB1446" w:rsidP="004A1DB8">
      <w:pPr>
        <w:numPr>
          <w:ilvl w:val="0"/>
          <w:numId w:val="12"/>
        </w:numPr>
        <w:spacing w:before="100" w:beforeAutospacing="1" w:after="100" w:afterAutospacing="1"/>
        <w:rPr>
          <w:rFonts w:cs="Calibri"/>
          <w:lang w:eastAsia="en-GB"/>
        </w:rPr>
      </w:pPr>
      <w:r w:rsidRPr="001B0353">
        <w:rPr>
          <w:rFonts w:cs="Calibri"/>
          <w:bCs/>
          <w:lang w:eastAsia="en-GB"/>
        </w:rPr>
        <w:t>Ублажување на климатските промени</w:t>
      </w:r>
    </w:p>
    <w:p w14:paraId="0A69158E" w14:textId="77777777" w:rsidR="00CB1446" w:rsidRPr="001B0353" w:rsidRDefault="00CB1446" w:rsidP="004A1DB8">
      <w:pPr>
        <w:numPr>
          <w:ilvl w:val="0"/>
          <w:numId w:val="12"/>
        </w:numPr>
        <w:spacing w:before="100" w:beforeAutospacing="1" w:after="100" w:afterAutospacing="1"/>
        <w:rPr>
          <w:rFonts w:cs="Calibri"/>
          <w:lang w:eastAsia="en-GB"/>
        </w:rPr>
      </w:pPr>
      <w:r w:rsidRPr="001B0353">
        <w:rPr>
          <w:rFonts w:cs="Calibri"/>
          <w:bCs/>
          <w:lang w:eastAsia="en-GB"/>
        </w:rPr>
        <w:t>Адаптација на климатските промени</w:t>
      </w:r>
    </w:p>
    <w:p w14:paraId="7C6CAC2B" w14:textId="77777777" w:rsidR="00CB1446" w:rsidRPr="001B0353" w:rsidRDefault="00CB1446" w:rsidP="004A1DB8">
      <w:pPr>
        <w:numPr>
          <w:ilvl w:val="0"/>
          <w:numId w:val="12"/>
        </w:numPr>
        <w:spacing w:before="100" w:beforeAutospacing="1" w:after="100" w:afterAutospacing="1"/>
        <w:rPr>
          <w:rFonts w:cs="Calibri"/>
          <w:lang w:eastAsia="en-GB"/>
        </w:rPr>
      </w:pPr>
      <w:r w:rsidRPr="001B0353">
        <w:rPr>
          <w:rFonts w:cs="Calibri"/>
          <w:bCs/>
          <w:lang w:eastAsia="en-GB"/>
        </w:rPr>
        <w:t>Одржливо користење и заштита на водните и морските ресурси</w:t>
      </w:r>
    </w:p>
    <w:p w14:paraId="7015E7AD" w14:textId="77777777" w:rsidR="00CB1446" w:rsidRPr="001B0353" w:rsidRDefault="00CB1446" w:rsidP="004A1DB8">
      <w:pPr>
        <w:numPr>
          <w:ilvl w:val="0"/>
          <w:numId w:val="12"/>
        </w:numPr>
        <w:spacing w:before="100" w:beforeAutospacing="1" w:after="100" w:afterAutospacing="1"/>
        <w:rPr>
          <w:rFonts w:cs="Calibri"/>
          <w:lang w:eastAsia="en-GB"/>
        </w:rPr>
      </w:pPr>
      <w:r w:rsidRPr="001B0353">
        <w:rPr>
          <w:rFonts w:cs="Calibri"/>
          <w:bCs/>
          <w:lang w:eastAsia="en-GB"/>
        </w:rPr>
        <w:t>Транзиција кон кружна економија</w:t>
      </w:r>
    </w:p>
    <w:p w14:paraId="1365D402" w14:textId="77777777" w:rsidR="00CB1446" w:rsidRPr="001B0353" w:rsidRDefault="00CB1446" w:rsidP="004A1DB8">
      <w:pPr>
        <w:numPr>
          <w:ilvl w:val="0"/>
          <w:numId w:val="12"/>
        </w:numPr>
        <w:spacing w:before="100" w:beforeAutospacing="1" w:after="100" w:afterAutospacing="1"/>
        <w:rPr>
          <w:rFonts w:cs="Calibri"/>
          <w:lang w:eastAsia="en-GB"/>
        </w:rPr>
      </w:pPr>
      <w:r w:rsidRPr="001B0353">
        <w:rPr>
          <w:rFonts w:cs="Calibri"/>
          <w:bCs/>
          <w:lang w:eastAsia="en-GB"/>
        </w:rPr>
        <w:t>Спречување на загадување и контрола на емисиите на штетни гасови</w:t>
      </w:r>
    </w:p>
    <w:p w14:paraId="44830374" w14:textId="77777777" w:rsidR="00CB1446" w:rsidRPr="001B0353" w:rsidRDefault="00CB1446" w:rsidP="004A1DB8">
      <w:pPr>
        <w:numPr>
          <w:ilvl w:val="0"/>
          <w:numId w:val="12"/>
        </w:numPr>
        <w:spacing w:before="100" w:beforeAutospacing="1" w:after="100" w:afterAutospacing="1"/>
        <w:rPr>
          <w:rFonts w:cs="Calibri"/>
          <w:lang w:eastAsia="en-GB"/>
        </w:rPr>
      </w:pPr>
      <w:r w:rsidRPr="001B0353">
        <w:rPr>
          <w:rFonts w:cs="Calibri"/>
          <w:bCs/>
          <w:lang w:eastAsia="en-GB"/>
        </w:rPr>
        <w:t>Заштита и обновување на биодиверзитетот и екосистемите</w:t>
      </w:r>
    </w:p>
    <w:p w14:paraId="712851DA" w14:textId="77777777" w:rsidR="00CB1446" w:rsidRPr="001B0353" w:rsidRDefault="00CB1446" w:rsidP="00CB1446">
      <w:pPr>
        <w:spacing w:before="100" w:beforeAutospacing="1" w:after="100" w:afterAutospacing="1"/>
        <w:rPr>
          <w:rFonts w:cs="Calibri"/>
          <w:lang w:eastAsia="en-GB"/>
        </w:rPr>
      </w:pPr>
      <w:r w:rsidRPr="001B0353">
        <w:rPr>
          <w:rFonts w:cs="Calibri"/>
          <w:lang w:eastAsia="en-GB"/>
        </w:rPr>
        <w:t xml:space="preserve">За една активност да биде означена како </w:t>
      </w:r>
      <w:r w:rsidRPr="001B0353">
        <w:rPr>
          <w:rFonts w:cs="Calibri"/>
          <w:b/>
          <w:bCs/>
          <w:lang w:eastAsia="en-GB"/>
        </w:rPr>
        <w:t xml:space="preserve">одржлива според Таксономијата </w:t>
      </w:r>
      <w:r w:rsidRPr="001B0353">
        <w:rPr>
          <w:rFonts w:cs="Calibri"/>
          <w:lang w:eastAsia="en-GB"/>
        </w:rPr>
        <w:t>, таа мора да исполнува три услови:</w:t>
      </w:r>
    </w:p>
    <w:p w14:paraId="32D91ACC" w14:textId="77777777" w:rsidR="00CB1446" w:rsidRPr="001B0353" w:rsidRDefault="00CB1446" w:rsidP="004A1DB8">
      <w:pPr>
        <w:numPr>
          <w:ilvl w:val="0"/>
          <w:numId w:val="13"/>
        </w:numPr>
        <w:spacing w:before="100" w:beforeAutospacing="1" w:after="100" w:afterAutospacing="1"/>
        <w:rPr>
          <w:rFonts w:cs="Calibri"/>
          <w:lang w:eastAsia="en-GB"/>
        </w:rPr>
      </w:pPr>
      <w:r w:rsidRPr="001B0353">
        <w:rPr>
          <w:rFonts w:cs="Calibri"/>
          <w:bCs/>
          <w:lang w:eastAsia="en-GB"/>
        </w:rPr>
        <w:t xml:space="preserve">Значително придонесува за </w:t>
      </w:r>
      <w:r w:rsidRPr="001B0353">
        <w:rPr>
          <w:rFonts w:cs="Calibri"/>
          <w:lang w:eastAsia="en-GB"/>
        </w:rPr>
        <w:t>барем една од овие цели,</w:t>
      </w:r>
    </w:p>
    <w:p w14:paraId="4DE5CEAA" w14:textId="77777777" w:rsidR="00CB1446" w:rsidRPr="001B0353" w:rsidRDefault="00CB1446" w:rsidP="004A1DB8">
      <w:pPr>
        <w:numPr>
          <w:ilvl w:val="0"/>
          <w:numId w:val="13"/>
        </w:numPr>
        <w:spacing w:before="100" w:beforeAutospacing="1" w:after="100" w:afterAutospacing="1"/>
        <w:rPr>
          <w:rFonts w:cs="Calibri"/>
          <w:lang w:eastAsia="en-GB"/>
        </w:rPr>
      </w:pPr>
      <w:r w:rsidRPr="001B0353">
        <w:rPr>
          <w:rFonts w:cs="Calibri"/>
          <w:bCs/>
          <w:lang w:eastAsia="en-GB"/>
        </w:rPr>
        <w:t xml:space="preserve">Не им штети </w:t>
      </w:r>
      <w:r w:rsidRPr="001B0353">
        <w:rPr>
          <w:rFonts w:cs="Calibri"/>
          <w:lang w:eastAsia="en-GB"/>
        </w:rPr>
        <w:t>на други цели (т.н. принцип „не прави значителна штета“),</w:t>
      </w:r>
    </w:p>
    <w:p w14:paraId="04361F56" w14:textId="77777777" w:rsidR="00CB1446" w:rsidRPr="001B0353" w:rsidRDefault="00CB1446" w:rsidP="004A1DB8">
      <w:pPr>
        <w:numPr>
          <w:ilvl w:val="0"/>
          <w:numId w:val="13"/>
        </w:numPr>
        <w:spacing w:before="100" w:beforeAutospacing="1" w:after="100" w:afterAutospacing="1"/>
        <w:rPr>
          <w:rFonts w:cs="Calibri"/>
          <w:lang w:eastAsia="en-GB"/>
        </w:rPr>
      </w:pPr>
      <w:r w:rsidRPr="001B0353">
        <w:rPr>
          <w:rFonts w:cs="Calibri"/>
          <w:lang w:eastAsia="en-GB"/>
        </w:rPr>
        <w:t xml:space="preserve">Ги исполнува </w:t>
      </w:r>
      <w:r w:rsidRPr="001B0353">
        <w:rPr>
          <w:rFonts w:cs="Calibri"/>
          <w:bCs/>
          <w:lang w:eastAsia="en-GB"/>
        </w:rPr>
        <w:t xml:space="preserve">минималните социјални и стандарди за управување </w:t>
      </w:r>
      <w:r w:rsidRPr="001B0353">
        <w:rPr>
          <w:rFonts w:cs="Calibri"/>
          <w:lang w:eastAsia="en-GB"/>
        </w:rPr>
        <w:t>(на пр. почитување на работничките права, транспарентност).</w:t>
      </w:r>
    </w:p>
    <w:p w14:paraId="2B5CD5F9" w14:textId="77777777" w:rsidR="00CB1446" w:rsidRPr="00BA4F59" w:rsidRDefault="00CB1446" w:rsidP="00CB1446">
      <w:pPr>
        <w:rPr>
          <w:rFonts w:cs="Calibri"/>
          <w:b/>
          <w:lang w:eastAsia="en-GB"/>
        </w:rPr>
      </w:pPr>
      <w:r w:rsidRPr="00BA4F59">
        <w:rPr>
          <w:rFonts w:cs="Calibri"/>
          <w:b/>
          <w:lang w:eastAsia="en-GB"/>
        </w:rPr>
        <w:t>Пример за примена на таксономијата на ЕУ во пракса:</w:t>
      </w:r>
    </w:p>
    <w:p w14:paraId="23897FFC" w14:textId="77777777" w:rsidR="00CB1446" w:rsidRPr="00BA4F59" w:rsidRDefault="00CB1446" w:rsidP="00CB1446">
      <w:pPr>
        <w:rPr>
          <w:rFonts w:cs="Calibri"/>
          <w:lang w:eastAsia="en-GB"/>
        </w:rPr>
      </w:pPr>
    </w:p>
    <w:p w14:paraId="6CFFA7CF" w14:textId="77777777" w:rsidR="00CB1446" w:rsidRPr="00BA4F59" w:rsidRDefault="00CB1446" w:rsidP="00CB1446">
      <w:pPr>
        <w:rPr>
          <w:rFonts w:cs="Calibri"/>
          <w:lang w:eastAsia="en-GB"/>
        </w:rPr>
      </w:pPr>
      <w:r w:rsidRPr="00BA4F59">
        <w:rPr>
          <w:rFonts w:cs="Calibri"/>
          <w:b/>
          <w:lang w:eastAsia="en-GB"/>
        </w:rPr>
        <w:t xml:space="preserve">Пример 1 </w:t>
      </w:r>
      <w:r w:rsidRPr="00BA4F59">
        <w:rPr>
          <w:rFonts w:cs="Calibri"/>
          <w:lang w:eastAsia="en-GB"/>
        </w:rPr>
        <w:t>: Ако МСП инсталира соларни панели во своето производство - ова може да биде активност усогласена со целта за ублажување на климатските промени, доколку се исполнети техничките критериуми (на пр. одредена енергетска ефикасност, одржливи материјали).</w:t>
      </w:r>
    </w:p>
    <w:p w14:paraId="26D5920F" w14:textId="77777777" w:rsidR="00CB1446" w:rsidRPr="00BA4F59" w:rsidRDefault="00CB1446" w:rsidP="00CB1446">
      <w:pPr>
        <w:rPr>
          <w:rFonts w:cs="Calibri"/>
          <w:lang w:eastAsia="en-GB"/>
        </w:rPr>
      </w:pPr>
      <w:r w:rsidRPr="00BA4F59">
        <w:rPr>
          <w:rFonts w:cs="Calibri"/>
          <w:b/>
          <w:lang w:eastAsia="en-GB"/>
        </w:rPr>
        <w:t xml:space="preserve">Пример 2 </w:t>
      </w:r>
      <w:r w:rsidRPr="00BA4F59">
        <w:rPr>
          <w:rFonts w:cs="Calibri"/>
          <w:lang w:eastAsia="en-GB"/>
        </w:rPr>
        <w:t>: Ако МСП се префрли на еколошки пакување и го намалува отпадот - ова е во согласност со целта за преминување кон кружна економија.</w:t>
      </w:r>
    </w:p>
    <w:p w14:paraId="6A51059D" w14:textId="77777777" w:rsidR="00CB1446" w:rsidRPr="00BA4F59" w:rsidRDefault="00CB1446" w:rsidP="00A43327">
      <w:pPr>
        <w:pStyle w:val="NoSpacing"/>
        <w:rPr>
          <w:lang w:eastAsia="en-GB"/>
        </w:rPr>
      </w:pPr>
      <w:r w:rsidRPr="00BA4F59">
        <w:rPr>
          <w:b/>
          <w:lang w:eastAsia="en-GB"/>
        </w:rPr>
        <w:t xml:space="preserve">Пример 3 </w:t>
      </w:r>
      <w:r w:rsidRPr="00BA4F59">
        <w:rPr>
          <w:lang w:eastAsia="en-GB"/>
        </w:rPr>
        <w:t>: Ако една МСП се префрли на користење еколошки материјали и воведува зелени процеси, тоа е во согласност со целта за намалување на потрошувачката на вода, без токсични хемикалии.</w:t>
      </w:r>
    </w:p>
    <w:p w14:paraId="30A61195" w14:textId="415152C5" w:rsidR="00987EC1" w:rsidRPr="00062713" w:rsidRDefault="00CB1446" w:rsidP="00A43327">
      <w:pPr>
        <w:pStyle w:val="NoSpacing"/>
        <w:rPr>
          <w:lang w:eastAsia="en-GB"/>
        </w:rPr>
      </w:pPr>
      <w:r w:rsidRPr="00BA4F59">
        <w:rPr>
          <w:b/>
          <w:lang w:eastAsia="en-GB"/>
        </w:rPr>
        <w:t xml:space="preserve">Пример 4 </w:t>
      </w:r>
      <w:r w:rsidRPr="00BA4F59">
        <w:rPr>
          <w:lang w:eastAsia="en-GB"/>
        </w:rPr>
        <w:t>: Ако една МСП го заменува својот возен парк и има намера да користи еко-возила или електрични возила, ова директно придонесува за намалување на емисиите на гасови, подобрување на логистиката, т.е. спречување на загадувањето.</w:t>
      </w:r>
      <w:r>
        <w:rPr>
          <w:rFonts w:ascii="Times New Roman" w:hAnsi="Times New Roman" w:cs="Times New Roman"/>
          <w:sz w:val="24"/>
          <w:szCs w:val="24"/>
          <w:lang w:eastAsia="en-GB"/>
        </w:rPr>
        <w:t xml:space="preserve"> </w:t>
      </w:r>
    </w:p>
    <w:p w14:paraId="5CC5AA7A" w14:textId="6379ABC3" w:rsidR="00E81480" w:rsidRPr="00062713" w:rsidRDefault="00E81480" w:rsidP="00E81480">
      <w:pPr>
        <w:spacing w:before="100" w:beforeAutospacing="1" w:after="100" w:afterAutospacing="1"/>
        <w:outlineLvl w:val="2"/>
        <w:rPr>
          <w:rFonts w:cs="Calibri"/>
          <w:b/>
          <w:bCs/>
          <w:lang w:eastAsia="en-GB"/>
        </w:rPr>
      </w:pPr>
      <w:bookmarkStart w:id="13" w:name="_Toc195047169"/>
      <w:r w:rsidRPr="00062713">
        <w:rPr>
          <w:rFonts w:cs="Calibri"/>
          <w:b/>
          <w:bCs/>
          <w:lang w:eastAsia="en-GB"/>
        </w:rPr>
        <w:t>3.4. Примери на финансирани проекти</w:t>
      </w:r>
      <w:bookmarkEnd w:id="13"/>
      <w:r w:rsidR="001B7F6B" w:rsidRPr="00062713">
        <w:rPr>
          <w:rFonts w:cs="Calibri"/>
          <w:b/>
          <w:bCs/>
          <w:lang w:eastAsia="en-GB"/>
        </w:rPr>
        <w:t xml:space="preserve">  </w:t>
      </w:r>
    </w:p>
    <w:p w14:paraId="2629E210" w14:textId="77777777" w:rsidR="00E81480" w:rsidRPr="00062713" w:rsidRDefault="00E81480" w:rsidP="00E81480">
      <w:pPr>
        <w:spacing w:before="100" w:beforeAutospacing="1" w:after="100" w:afterAutospacing="1"/>
        <w:rPr>
          <w:rFonts w:cs="Calibri"/>
          <w:lang w:eastAsia="en-GB"/>
        </w:rPr>
      </w:pPr>
      <w:r w:rsidRPr="00062713">
        <w:rPr>
          <w:rFonts w:cs="Calibri"/>
          <w:lang w:eastAsia="en-GB"/>
        </w:rPr>
        <w:t>Зелените финансиски механизми можат да поддржат широк спектар на активности, но само оние проекти кои имаат јасно позитивно влијание врз животната средина и општеството можат да бидат подобни за зелено финансирање. Некои од видовите проекти што можат да се финансираат вклучуваат:</w:t>
      </w:r>
    </w:p>
    <w:p w14:paraId="2FD24E30" w14:textId="77777777" w:rsidR="00E81480" w:rsidRPr="00062713" w:rsidRDefault="00E81480" w:rsidP="004A1DB8">
      <w:pPr>
        <w:numPr>
          <w:ilvl w:val="0"/>
          <w:numId w:val="4"/>
        </w:numPr>
        <w:spacing w:before="100" w:beforeAutospacing="1" w:after="100" w:afterAutospacing="1"/>
        <w:rPr>
          <w:rFonts w:cs="Calibri"/>
          <w:lang w:eastAsia="en-GB"/>
        </w:rPr>
      </w:pPr>
      <w:r w:rsidRPr="00062713">
        <w:rPr>
          <w:rFonts w:cs="Calibri"/>
          <w:b/>
          <w:bCs/>
          <w:lang w:eastAsia="en-GB"/>
        </w:rPr>
        <w:t xml:space="preserve">Проекти за обновливи извори на енергија </w:t>
      </w:r>
      <w:r w:rsidRPr="00062713">
        <w:rPr>
          <w:rFonts w:cs="Calibri"/>
          <w:lang w:eastAsia="en-GB"/>
        </w:rPr>
        <w:t>: Инвестиции во соларни и ветерни електрани, геотермални и хидроелектрични централи.</w:t>
      </w:r>
    </w:p>
    <w:p w14:paraId="320E6121" w14:textId="77777777" w:rsidR="00E81480" w:rsidRPr="00062713" w:rsidRDefault="00E81480" w:rsidP="004A1DB8">
      <w:pPr>
        <w:numPr>
          <w:ilvl w:val="0"/>
          <w:numId w:val="4"/>
        </w:numPr>
        <w:spacing w:before="100" w:beforeAutospacing="1" w:after="100" w:afterAutospacing="1"/>
        <w:rPr>
          <w:rFonts w:cs="Calibri"/>
          <w:lang w:eastAsia="en-GB"/>
        </w:rPr>
      </w:pPr>
      <w:r w:rsidRPr="00062713">
        <w:rPr>
          <w:rFonts w:cs="Calibri"/>
          <w:b/>
          <w:bCs/>
          <w:lang w:eastAsia="en-GB"/>
        </w:rPr>
        <w:t xml:space="preserve">Проекти за енергетска ефикасност </w:t>
      </w:r>
      <w:r w:rsidRPr="00062713">
        <w:rPr>
          <w:rFonts w:cs="Calibri"/>
          <w:lang w:eastAsia="en-GB"/>
        </w:rPr>
        <w:t>: Подобрување на енергетската ефикасност во индустријата, транспортниот сектор и зградите.</w:t>
      </w:r>
    </w:p>
    <w:p w14:paraId="6CB0F2B9" w14:textId="77777777" w:rsidR="00E81480" w:rsidRPr="00062713" w:rsidRDefault="00E81480" w:rsidP="004A1DB8">
      <w:pPr>
        <w:numPr>
          <w:ilvl w:val="0"/>
          <w:numId w:val="4"/>
        </w:numPr>
        <w:spacing w:before="100" w:beforeAutospacing="1" w:after="100" w:afterAutospacing="1"/>
        <w:rPr>
          <w:rFonts w:cs="Calibri"/>
          <w:lang w:eastAsia="en-GB"/>
        </w:rPr>
      </w:pPr>
      <w:r w:rsidRPr="00062713">
        <w:rPr>
          <w:rFonts w:cs="Calibri"/>
          <w:b/>
          <w:bCs/>
          <w:lang w:eastAsia="en-GB"/>
        </w:rPr>
        <w:t xml:space="preserve">Проекти за циркуларна економија </w:t>
      </w:r>
      <w:r w:rsidRPr="00062713">
        <w:rPr>
          <w:rFonts w:cs="Calibri"/>
          <w:lang w:eastAsia="en-GB"/>
        </w:rPr>
        <w:t>: Иницијативи кои промовираат повторна употреба на материјали, рециклирање и намалување на отпадот.</w:t>
      </w:r>
    </w:p>
    <w:p w14:paraId="5B5C84D6" w14:textId="77777777" w:rsidR="00E81480" w:rsidRPr="00062713" w:rsidRDefault="00E81480" w:rsidP="004A1DB8">
      <w:pPr>
        <w:numPr>
          <w:ilvl w:val="0"/>
          <w:numId w:val="4"/>
        </w:numPr>
        <w:spacing w:before="100" w:beforeAutospacing="1" w:after="100" w:afterAutospacing="1"/>
        <w:rPr>
          <w:rFonts w:cs="Calibri"/>
          <w:lang w:eastAsia="en-GB"/>
        </w:rPr>
      </w:pPr>
      <w:r w:rsidRPr="00062713">
        <w:rPr>
          <w:rFonts w:cs="Calibri"/>
          <w:b/>
          <w:bCs/>
          <w:lang w:eastAsia="en-GB"/>
        </w:rPr>
        <w:t xml:space="preserve">Намалување на загадувањето </w:t>
      </w:r>
      <w:r w:rsidRPr="00062713">
        <w:rPr>
          <w:rFonts w:cs="Calibri"/>
          <w:lang w:eastAsia="en-GB"/>
        </w:rPr>
        <w:t>: Проекти кои ги намалуваат емисиите на јаглерод диоксид, штетните гасови или загадувањето на водата.</w:t>
      </w:r>
    </w:p>
    <w:p w14:paraId="0760F9A9" w14:textId="77777777" w:rsidR="00E81480" w:rsidRPr="00062713" w:rsidRDefault="00E81480" w:rsidP="004A1DB8">
      <w:pPr>
        <w:numPr>
          <w:ilvl w:val="0"/>
          <w:numId w:val="4"/>
        </w:numPr>
        <w:spacing w:before="100" w:beforeAutospacing="1" w:after="100" w:afterAutospacing="1"/>
        <w:rPr>
          <w:rFonts w:cs="Calibri"/>
          <w:lang w:eastAsia="en-GB"/>
        </w:rPr>
      </w:pPr>
      <w:r w:rsidRPr="00062713">
        <w:rPr>
          <w:rFonts w:cs="Calibri"/>
          <w:b/>
          <w:bCs/>
          <w:lang w:eastAsia="en-GB"/>
        </w:rPr>
        <w:t xml:space="preserve">Одржлив транспорт </w:t>
      </w:r>
      <w:r w:rsidRPr="00062713">
        <w:rPr>
          <w:rFonts w:cs="Calibri"/>
          <w:lang w:eastAsia="en-GB"/>
        </w:rPr>
        <w:t>: Развој на инфраструктура за електрични возила, подобрување на јавниот транспорт и промоција на еколошки форми на транспорт.</w:t>
      </w:r>
    </w:p>
    <w:p w14:paraId="2E567BCC" w14:textId="77777777" w:rsidR="00E81480" w:rsidRPr="00062713" w:rsidRDefault="00E81480" w:rsidP="004A1DB8">
      <w:pPr>
        <w:numPr>
          <w:ilvl w:val="0"/>
          <w:numId w:val="4"/>
        </w:numPr>
        <w:spacing w:before="100" w:beforeAutospacing="1" w:after="100" w:afterAutospacing="1"/>
        <w:rPr>
          <w:rFonts w:cs="Calibri"/>
          <w:lang w:eastAsia="en-GB"/>
        </w:rPr>
      </w:pPr>
      <w:r w:rsidRPr="00062713">
        <w:rPr>
          <w:rFonts w:cs="Calibri"/>
          <w:b/>
          <w:bCs/>
          <w:lang w:eastAsia="en-GB"/>
        </w:rPr>
        <w:t xml:space="preserve">Заштита на биодиверзитетот и природните ресурси </w:t>
      </w:r>
      <w:r w:rsidRPr="00062713">
        <w:rPr>
          <w:rFonts w:cs="Calibri"/>
          <w:lang w:eastAsia="en-GB"/>
        </w:rPr>
        <w:t>: Проекти кои се фокусираат на зачувување на природата, како што се заштитени подрачја, реставрација на екосистемот или санација на земјиштето.</w:t>
      </w:r>
    </w:p>
    <w:p w14:paraId="2F150550" w14:textId="0DEE1F82" w:rsidR="00A43327" w:rsidRPr="00062713" w:rsidRDefault="00E81480" w:rsidP="00E81480">
      <w:pPr>
        <w:spacing w:before="100" w:beforeAutospacing="1" w:after="100" w:afterAutospacing="1"/>
        <w:rPr>
          <w:rFonts w:cs="Calibri"/>
          <w:lang w:eastAsia="en-GB"/>
        </w:rPr>
      </w:pPr>
      <w:r w:rsidRPr="00062713">
        <w:rPr>
          <w:rFonts w:cs="Calibri"/>
          <w:lang w:eastAsia="en-GB"/>
        </w:rPr>
        <w:t>Проектите кои се сметаат за одржливи мора да се усогласат со зелените стандарди, како оние во таксономијата на ЕУ, и да можат да покажат конкретни еколошки и социјални придобивки.</w:t>
      </w:r>
    </w:p>
    <w:p w14:paraId="7ACBAB75" w14:textId="0F9A7350" w:rsidR="00B862A7" w:rsidRPr="003E66DB" w:rsidRDefault="00B862A7" w:rsidP="00B862A7">
      <w:pPr>
        <w:pStyle w:val="Heading1"/>
        <w:spacing w:before="0" w:after="0"/>
        <w:rPr>
          <w:rFonts w:asciiTheme="minorHAnsi" w:hAnsiTheme="minorHAnsi" w:cstheme="minorHAnsi"/>
          <w:b/>
          <w:color w:val="auto"/>
          <w:sz w:val="24"/>
          <w:szCs w:val="24"/>
        </w:rPr>
      </w:pPr>
      <w:bookmarkStart w:id="14" w:name="_Toc195047170"/>
      <w:r w:rsidRPr="003E66DB">
        <w:rPr>
          <w:rFonts w:asciiTheme="minorHAnsi" w:hAnsiTheme="minorHAnsi" w:cstheme="minorHAnsi"/>
          <w:b/>
          <w:color w:val="auto"/>
          <w:sz w:val="24"/>
          <w:szCs w:val="24"/>
          <w:lang w:val="sr-Latn-RS"/>
        </w:rPr>
        <w:t xml:space="preserve">4. </w:t>
      </w:r>
      <w:r w:rsidRPr="003E66DB">
        <w:rPr>
          <w:rFonts w:asciiTheme="minorHAnsi" w:hAnsiTheme="minorHAnsi" w:cstheme="minorHAnsi"/>
          <w:b/>
          <w:color w:val="auto"/>
          <w:sz w:val="24"/>
          <w:szCs w:val="24"/>
        </w:rPr>
        <w:t xml:space="preserve">Преглед на достапни зелени финансиски инструменти во </w:t>
      </w:r>
      <w:r w:rsidR="00CA5999">
        <w:rPr>
          <w:rFonts w:asciiTheme="minorHAnsi" w:hAnsiTheme="minorHAnsi" w:cstheme="minorHAnsi"/>
          <w:b/>
          <w:color w:val="auto"/>
          <w:sz w:val="24"/>
          <w:szCs w:val="24"/>
        </w:rPr>
        <w:t>Северна Македонија</w:t>
      </w:r>
      <w:bookmarkEnd w:id="14"/>
      <w:r w:rsidRPr="003E66DB">
        <w:rPr>
          <w:rFonts w:asciiTheme="minorHAnsi" w:hAnsiTheme="minorHAnsi" w:cstheme="minorHAnsi"/>
          <w:b/>
          <w:color w:val="auto"/>
          <w:sz w:val="24"/>
          <w:szCs w:val="24"/>
        </w:rPr>
        <w:t xml:space="preserve"> </w:t>
      </w:r>
    </w:p>
    <w:p w14:paraId="58C9C1D3" w14:textId="6AAB6CF9" w:rsidR="00B862A7" w:rsidRPr="00B862A7" w:rsidRDefault="00B862A7" w:rsidP="00B862A7">
      <w:pPr>
        <w:spacing w:before="100" w:beforeAutospacing="1" w:after="100" w:afterAutospacing="1"/>
        <w:jc w:val="both"/>
        <w:rPr>
          <w:rFonts w:cs="Calibri"/>
          <w:lang w:eastAsia="en-GB"/>
        </w:rPr>
      </w:pPr>
      <w:r w:rsidRPr="00B862A7">
        <w:rPr>
          <w:rFonts w:cs="Calibri"/>
          <w:lang w:eastAsia="en-GB"/>
        </w:rPr>
        <w:t>Зелените финансиски инструменти се клучни механизми за поддршка на инвестиции и проекти кои имаат позитивно влијание врз животната средина. Овие инструменти вклучуваат различни форми на финансирање, како што се зелени обврзници, заеми, субвенции и други специјализирани фондови, кои им овозможуваат на компаниите да ги реализираат своите проекти за одржлив развој. Примената на овие инструменти им овозможува на компаниите подобар пристап до капитал за зелени инвестиции, кои се насочени кон зголемување на енергетската ефикасност, користење на обновливи извори на енергија, оптимизирање на користењето на природните ресурси, дигитализирање на операциите и промовирање на циркуларната економија.</w:t>
      </w:r>
    </w:p>
    <w:p w14:paraId="40EAE72E" w14:textId="131B7BC6" w:rsidR="00B862A7" w:rsidRPr="00B862A7" w:rsidRDefault="00B862A7" w:rsidP="00B862A7">
      <w:pPr>
        <w:spacing w:before="100" w:beforeAutospacing="1" w:after="100" w:afterAutospacing="1"/>
        <w:jc w:val="both"/>
        <w:rPr>
          <w:rFonts w:cs="Calibri"/>
          <w:lang w:eastAsia="en-GB"/>
        </w:rPr>
      </w:pPr>
      <w:r w:rsidRPr="00B862A7">
        <w:rPr>
          <w:rFonts w:cs="Calibri"/>
          <w:lang w:eastAsia="en-GB"/>
        </w:rPr>
        <w:t xml:space="preserve">Во </w:t>
      </w:r>
      <w:r w:rsidR="00CA5999">
        <w:rPr>
          <w:rFonts w:cs="Calibri"/>
          <w:lang w:eastAsia="en-GB"/>
        </w:rPr>
        <w:t>Северна Македонија</w:t>
      </w:r>
      <w:r w:rsidRPr="00B862A7">
        <w:rPr>
          <w:rFonts w:cs="Calibri"/>
          <w:lang w:eastAsia="en-GB"/>
        </w:rPr>
        <w:t xml:space="preserve"> и Северна Македонија, малите и средните претпријатија (МСП) сè повеќе го препознаваат потенцијалот на зелените инвестиции, кои првенствено се фокусирани на модернизација на опремата и технологиите со цел намалување на потрошувачката на енергија и ресурси. Покрај тоа, значаен дел од зелените инвестиции вклучуваат инсталација на соларни панели за внатрешна употреба или продажба на електрична енергија, како и подобрување на системите за управување со отпад. Иако многу компании се потпираат на сопствени средства за финансирање на овие проекти, тие сè повеќе користат надворешни извори на финансирање, вклучувајќи субвенции, заеми и други механизми за стимулација.</w:t>
      </w:r>
    </w:p>
    <w:p w14:paraId="1FBB3E08" w14:textId="443C1D0A" w:rsidR="00B862A7" w:rsidRPr="00B862A7" w:rsidRDefault="00B862A7" w:rsidP="00B862A7">
      <w:pPr>
        <w:spacing w:before="100" w:beforeAutospacing="1" w:after="100" w:afterAutospacing="1"/>
        <w:jc w:val="both"/>
        <w:rPr>
          <w:rFonts w:cs="Calibri"/>
          <w:lang w:eastAsia="en-GB"/>
        </w:rPr>
      </w:pPr>
      <w:r w:rsidRPr="00B862A7">
        <w:rPr>
          <w:rFonts w:cs="Calibri"/>
          <w:lang w:eastAsia="en-GB"/>
        </w:rPr>
        <w:t xml:space="preserve">Самофинансирањето најчесто е соодветно за проекти кои не бараат големи инвестиции или за оние со краток период на враќање. Меѓутоа, за поголеми проекти и долгорочни иницијативи, МСП се одлучуваат за надворешни извори на финансирање, како што се заеми од меѓународни финансиски институции, комерцијални банки, лизинг аранжмани, јавно-приватно партнерство и субвенции. Меѓу овие инструменти, зелените субвенции и поволните заеми играат клучна улога во поддршката на МСП во процесот на </w:t>
      </w:r>
      <w:r w:rsidR="003B7A49">
        <w:rPr>
          <w:rFonts w:cs="Calibri"/>
          <w:lang w:eastAsia="en-GB"/>
        </w:rPr>
        <w:t>озеленување</w:t>
      </w:r>
      <w:r w:rsidRPr="00B862A7">
        <w:rPr>
          <w:rFonts w:cs="Calibri"/>
          <w:lang w:eastAsia="en-GB"/>
        </w:rPr>
        <w:t xml:space="preserve"> на нивните бизниси.</w:t>
      </w:r>
    </w:p>
    <w:p w14:paraId="6AFB5BE8" w14:textId="2FCF258A" w:rsidR="00B862A7" w:rsidRPr="00B862A7" w:rsidRDefault="00B862A7" w:rsidP="00B862A7">
      <w:pPr>
        <w:spacing w:before="100" w:beforeAutospacing="1" w:after="100" w:afterAutospacing="1"/>
        <w:jc w:val="both"/>
        <w:rPr>
          <w:rFonts w:cs="Calibri"/>
          <w:lang w:eastAsia="en-GB"/>
        </w:rPr>
      </w:pPr>
      <w:r w:rsidRPr="00B862A7">
        <w:rPr>
          <w:rFonts w:cs="Calibri"/>
          <w:lang w:eastAsia="en-GB"/>
        </w:rPr>
        <w:t>Субвенциите, обезбедени од држави или непрофитни организации, не мора да се враќаат и се наменети за поттикнување еколошки проекти, вклучувајќи обновливи извори на енергија, енергетска ефикасност, одржливо управување со отпад и развој на кружна економија. Поволните заеми што им се нудат на МСП вклучуваат каматни стапки под 3%, рокови на отплата до 10 години и грејс период од најмалку една година, со флексибилни барања за обезбедување и гаранција.</w:t>
      </w:r>
    </w:p>
    <w:p w14:paraId="04EDBDE8" w14:textId="38DFFD2B" w:rsidR="00B862A7" w:rsidRPr="00B862A7" w:rsidRDefault="00B862A7" w:rsidP="00B862A7">
      <w:pPr>
        <w:spacing w:before="100" w:beforeAutospacing="1" w:after="100" w:afterAutospacing="1"/>
        <w:jc w:val="both"/>
        <w:rPr>
          <w:rFonts w:cs="Calibri"/>
          <w:lang w:eastAsia="en-GB"/>
        </w:rPr>
      </w:pPr>
      <w:r w:rsidRPr="00B862A7">
        <w:rPr>
          <w:rFonts w:cs="Calibri"/>
          <w:lang w:eastAsia="en-GB"/>
        </w:rPr>
        <w:t>Меѓународните финансиски институции обезбедуваат и директно финансирање или преку комерцијални банки за проекти кои ја намалуваат потрошувачката на енергија, емисиите на CO2 и придонесуваат за модернизирање на производните капацитети. Овие инвестиции не само што им помагаат на МСП да ги намалат оперативните трошоци, туку и ја зголемуваат нивната конкурентност, го подобруваат квалитетот на производите и го олеснуваат пристапот до странските пазари.</w:t>
      </w:r>
    </w:p>
    <w:p w14:paraId="6E051B7B" w14:textId="4C847C58" w:rsidR="00B862A7" w:rsidRPr="00B862A7" w:rsidRDefault="00B862A7" w:rsidP="00B862A7">
      <w:pPr>
        <w:spacing w:before="100" w:beforeAutospacing="1" w:after="100" w:afterAutospacing="1"/>
        <w:jc w:val="both"/>
        <w:rPr>
          <w:rFonts w:cs="Calibri"/>
          <w:lang w:eastAsia="en-GB"/>
        </w:rPr>
      </w:pPr>
      <w:r w:rsidRPr="00B862A7">
        <w:rPr>
          <w:rFonts w:cs="Calibri"/>
          <w:lang w:eastAsia="en-GB"/>
        </w:rPr>
        <w:t xml:space="preserve">Институциите како што се Европската банка за обнова и развој (ЕБОР), Германската банка за развој ( </w:t>
      </w:r>
      <w:r w:rsidR="00B205C7">
        <w:rPr>
          <w:rFonts w:cs="Calibri"/>
          <w:lang w:val="sr-Latn-RS" w:eastAsia="en-GB"/>
        </w:rPr>
        <w:t xml:space="preserve">KFW </w:t>
      </w:r>
      <w:r w:rsidRPr="00B862A7">
        <w:rPr>
          <w:rFonts w:cs="Calibri"/>
          <w:lang w:eastAsia="en-GB"/>
        </w:rPr>
        <w:t>) и други меѓународни финансиски организации обезбедуваат значителна финансиска поддршка за МСП преку заеми, грантови и кредитни линии, кои подоцна се дистрибуираат преку локалните финансиски институции. Покрај финансиските средства, овие институции нудат и техничка поддршка во форма на консултации, обуки и алатки за следење на енергетската ефикасност, што дополнително придонесува за развој на пазарот и подигање на свеста за одржливи решенија.</w:t>
      </w:r>
    </w:p>
    <w:p w14:paraId="0648BCBD" w14:textId="5559224B" w:rsidR="00737B13" w:rsidRDefault="00B862A7" w:rsidP="00737B13">
      <w:pPr>
        <w:spacing w:before="100" w:beforeAutospacing="1" w:after="100" w:afterAutospacing="1"/>
        <w:jc w:val="both"/>
        <w:rPr>
          <w:rFonts w:cs="Calibri"/>
          <w:lang w:eastAsia="en-GB"/>
        </w:rPr>
      </w:pPr>
      <w:r w:rsidRPr="00B862A7">
        <w:rPr>
          <w:rFonts w:cs="Calibri"/>
          <w:lang w:eastAsia="en-GB"/>
        </w:rPr>
        <w:t xml:space="preserve">Сепак, едно од клучните ограничувања во имплементацијата на зелените финансиски инструменти е недостатокот на свест кај МСП за достапните можности за финансирање. Затоа, овој водич дава јасен и сеопфатен преглед на зелените финансиски инструменти достапни во </w:t>
      </w:r>
      <w:r w:rsidR="00CA5999">
        <w:rPr>
          <w:rFonts w:cs="Calibri"/>
          <w:lang w:eastAsia="en-GB"/>
        </w:rPr>
        <w:t>Северна Македонија</w:t>
      </w:r>
      <w:r w:rsidRPr="00B862A7">
        <w:rPr>
          <w:rFonts w:cs="Calibri"/>
          <w:lang w:eastAsia="en-GB"/>
        </w:rPr>
        <w:t xml:space="preserve"> и Северна Македонија, со конкретни информации за потенцијалните извори на финансирање, условите за нивно добивање и начините на кои МСП можат да ги користат за да ги подобрат своите деловни активности во согласност со принципите на одржлив развој.</w:t>
      </w:r>
    </w:p>
    <w:p w14:paraId="12E8CC10" w14:textId="77777777" w:rsidR="00CB1446" w:rsidRDefault="00CB1446" w:rsidP="00737B13">
      <w:pPr>
        <w:spacing w:before="100" w:beforeAutospacing="1" w:after="100" w:afterAutospacing="1"/>
        <w:jc w:val="both"/>
        <w:rPr>
          <w:rFonts w:cs="Calibri"/>
          <w:lang w:eastAsia="en-GB"/>
        </w:rPr>
      </w:pPr>
    </w:p>
    <w:p w14:paraId="043DCDE7" w14:textId="31A8C625" w:rsidR="00260370" w:rsidRPr="00260370" w:rsidRDefault="00737B13" w:rsidP="000E1FC2">
      <w:pPr>
        <w:spacing w:before="100" w:beforeAutospacing="1" w:after="100" w:afterAutospacing="1"/>
        <w:jc w:val="both"/>
        <w:rPr>
          <w:rFonts w:cs="Calibri"/>
          <w:b/>
          <w:lang w:eastAsia="en-GB"/>
        </w:rPr>
      </w:pPr>
      <w:r w:rsidRPr="00737B13">
        <w:rPr>
          <w:rFonts w:cs="Calibri"/>
          <w:b/>
          <w:lang w:eastAsia="en-GB"/>
        </w:rPr>
        <w:t>4.1. Зелени можности за финансирање преку учество во проекти</w:t>
      </w:r>
      <w:r w:rsidR="00624278">
        <w:rPr>
          <w:rStyle w:val="FootnoteReference"/>
          <w:rFonts w:cs="Calibri"/>
          <w:b/>
          <w:lang w:eastAsia="en-GB"/>
        </w:rPr>
        <w:footnoteReference w:id="6"/>
      </w:r>
      <w:r w:rsidR="000E1FC2">
        <w:rPr>
          <w:rFonts w:cs="Calibri"/>
          <w:b/>
          <w:lang w:eastAsia="en-GB"/>
        </w:rPr>
        <w:t xml:space="preserve">  </w:t>
      </w:r>
    </w:p>
    <w:p w14:paraId="5C8675C2" w14:textId="25F3A6FB" w:rsidR="00F02E1C" w:rsidRPr="00F02E1C" w:rsidRDefault="00F02E1C" w:rsidP="00F02E1C">
      <w:pPr>
        <w:spacing w:before="100" w:beforeAutospacing="1" w:after="100" w:afterAutospacing="1"/>
        <w:jc w:val="both"/>
        <w:rPr>
          <w:rFonts w:cs="Calibri"/>
          <w:lang w:eastAsia="en-GB"/>
        </w:rPr>
      </w:pPr>
      <w:r w:rsidRPr="00F02E1C">
        <w:rPr>
          <w:rFonts w:cs="Calibri"/>
          <w:lang w:eastAsia="en-GB"/>
        </w:rPr>
        <w:t xml:space="preserve">Во Северна Македонија, малите и средни претпријатија (МСП) имаат пристап до различни финансиски инструменти и програми кои поддржуваат инвестиции во енергетска ефикасност и обновливи извори на енергија. Овие програми се дизајнирани да им помогнат на МСП во процесот на </w:t>
      </w:r>
      <w:r w:rsidR="003B7A49">
        <w:rPr>
          <w:rFonts w:cs="Calibri"/>
          <w:lang w:eastAsia="en-GB"/>
        </w:rPr>
        <w:t>озеленување</w:t>
      </w:r>
      <w:r w:rsidRPr="00F02E1C">
        <w:rPr>
          <w:rFonts w:cs="Calibri"/>
          <w:lang w:eastAsia="en-GB"/>
        </w:rPr>
        <w:t xml:space="preserve"> на нивните бизниси, намалување на оперативните трошоци и зголемување на конкурентноста.</w:t>
      </w:r>
    </w:p>
    <w:p w14:paraId="0C650EC2" w14:textId="2E9BF25C" w:rsidR="00F02E1C" w:rsidRPr="00F02E1C" w:rsidRDefault="00F02E1C" w:rsidP="00F02E1C">
      <w:pPr>
        <w:spacing w:before="100" w:beforeAutospacing="1" w:after="100" w:afterAutospacing="1"/>
        <w:jc w:val="both"/>
        <w:rPr>
          <w:rFonts w:cs="Calibri"/>
          <w:lang w:eastAsia="en-GB"/>
        </w:rPr>
      </w:pPr>
      <w:r w:rsidRPr="00F02E1C">
        <w:rPr>
          <w:rFonts w:cs="Calibri"/>
          <w:b/>
          <w:lang w:eastAsia="en-GB"/>
        </w:rPr>
        <w:t xml:space="preserve">Зелен финансиски фонд (ГФФ): </w:t>
      </w:r>
      <w:r>
        <w:rPr>
          <w:rFonts w:cs="Calibri"/>
          <w:lang w:eastAsia="en-GB"/>
        </w:rPr>
        <w:t>Европската банка за обнова и развој (ЕБОР), во соработка со Обединетите нации и Владата на Северна Македонија, го основа Зелениот финансиски фонд (ГФФ) со фонд од 30 милиони евра. Овој механизам обезбедува поволни заеми за мали и средни претпријатија и физички лица за инвестиции во обновливи извори на енергија и енергетска ефикасност, како што се фотоволтаици, топлински пумпи и ефикасни системи за греење. Дополнително, GFF нуди техничка помош и стимулативни плаќања засновани на перформанси, до 10% од главницата на заемот, за поддршка на овие инвестиции.</w:t>
      </w:r>
    </w:p>
    <w:p w14:paraId="06A7F0AE" w14:textId="64BEB9EA" w:rsidR="00F02E1C" w:rsidRPr="00F02E1C" w:rsidRDefault="00F02E1C" w:rsidP="00F02E1C">
      <w:pPr>
        <w:spacing w:before="100" w:beforeAutospacing="1" w:after="100" w:afterAutospacing="1"/>
        <w:jc w:val="both"/>
        <w:rPr>
          <w:rFonts w:cs="Calibri"/>
          <w:b/>
          <w:lang w:eastAsia="en-GB"/>
        </w:rPr>
      </w:pPr>
      <w:r w:rsidRPr="00F02E1C">
        <w:rPr>
          <w:rFonts w:cs="Calibri"/>
          <w:b/>
          <w:lang w:eastAsia="en-GB"/>
        </w:rPr>
        <w:t xml:space="preserve">Заеми преку локални банки: </w:t>
      </w:r>
      <w:r w:rsidRPr="00F02E1C">
        <w:rPr>
          <w:rFonts w:cs="Calibri"/>
          <w:lang w:eastAsia="en-GB"/>
        </w:rPr>
        <w:t>ЕБОР обезбеди заеми на локалните банки, вклучувајќи ги ПроКредит Банка Скопје и Шпаркасе Банка АД Скопје, за поддршка на МСП во исполнувањето на стандардите на Европската Унија и подобрување на енергетската ефикасност. Овие заеми се наменети за финансирање проекти кои придонесуваат за зелена транзиција и одржлив развој.</w:t>
      </w:r>
    </w:p>
    <w:p w14:paraId="36CB5D98" w14:textId="5097D742" w:rsidR="00F02E1C" w:rsidRPr="00F02E1C" w:rsidRDefault="00F02E1C" w:rsidP="00F02E1C">
      <w:pPr>
        <w:spacing w:before="100" w:beforeAutospacing="1" w:after="100" w:afterAutospacing="1"/>
        <w:jc w:val="both"/>
        <w:rPr>
          <w:rFonts w:cs="Calibri"/>
          <w:b/>
          <w:lang w:eastAsia="en-GB"/>
        </w:rPr>
      </w:pPr>
      <w:r w:rsidRPr="00F02E1C">
        <w:rPr>
          <w:rFonts w:cs="Calibri"/>
          <w:b/>
          <w:lang w:eastAsia="en-GB"/>
        </w:rPr>
        <w:t xml:space="preserve">Програми на Банката за развој на Советот на Европа (CEB): </w:t>
      </w:r>
      <w:r w:rsidRPr="00F02E1C">
        <w:rPr>
          <w:rFonts w:cs="Calibri"/>
          <w:lang w:eastAsia="en-GB"/>
        </w:rPr>
        <w:t>ЦЕБ, во соработка со локалните финансиски институции, обезбедува поддршка за проекти кои придонесуваат за одржлив развој и заштита на животната средина. Овие програми се насочени кон финансирање проекти кои ја подобруваат енергетската ефикасност и го намалуваат јаглеродот.</w:t>
      </w:r>
    </w:p>
    <w:p w14:paraId="6F541D90" w14:textId="42F1E219" w:rsidR="00F02E1C" w:rsidRPr="00F02E1C" w:rsidRDefault="00F02E1C" w:rsidP="00F02E1C">
      <w:pPr>
        <w:spacing w:before="100" w:beforeAutospacing="1" w:after="100" w:afterAutospacing="1"/>
        <w:jc w:val="both"/>
        <w:rPr>
          <w:rFonts w:cs="Calibri"/>
          <w:lang w:eastAsia="en-GB"/>
        </w:rPr>
      </w:pPr>
      <w:r w:rsidRPr="00F02E1C">
        <w:rPr>
          <w:rFonts w:cs="Calibri"/>
          <w:b/>
          <w:lang w:eastAsia="en-GB"/>
        </w:rPr>
        <w:t xml:space="preserve">Програми на Европската инвестициска банка (ЕИБ): </w:t>
      </w:r>
      <w:r>
        <w:rPr>
          <w:rFonts w:cs="Calibri"/>
          <w:lang w:eastAsia="en-GB"/>
        </w:rPr>
        <w:t>ЕИБ Глобал обезбеди техничка помош од 1 милион евра на Банката за развој на Северна Македонија (ДБНМ) за поддршка на имплементацијата на новата зелена кредитна линија за МСП. Овие средства ќе го олеснат финансирањето на проекти кои се во согласност со Зелената агенда на Европската унија за Западен Балкан.</w:t>
      </w:r>
    </w:p>
    <w:p w14:paraId="1F2CE7DC" w14:textId="551DA7FF" w:rsidR="00F02E1C" w:rsidRPr="00F02E1C" w:rsidRDefault="00F02E1C" w:rsidP="00F02E1C">
      <w:pPr>
        <w:spacing w:before="100" w:beforeAutospacing="1" w:after="100" w:afterAutospacing="1"/>
        <w:jc w:val="both"/>
        <w:rPr>
          <w:rFonts w:cs="Calibri"/>
          <w:b/>
          <w:lang w:eastAsia="en-GB"/>
        </w:rPr>
      </w:pPr>
      <w:r w:rsidRPr="00F02E1C">
        <w:rPr>
          <w:rFonts w:cs="Calibri"/>
          <w:b/>
          <w:lang w:eastAsia="en-GB"/>
        </w:rPr>
        <w:t xml:space="preserve">Програма „SMEs Go Digital“: </w:t>
      </w:r>
      <w:r w:rsidRPr="00F02E1C">
        <w:rPr>
          <w:rFonts w:cs="Calibri"/>
          <w:lang w:eastAsia="en-GB"/>
        </w:rPr>
        <w:t>Оваа програма ја поддржува дигитализацијата, автоматизацијата и конкурентноста на МСП низ Западен Балкан. Со акцент на одржливоста, најмалку 50% од инвестициите ќе бидат насочени кон зелени проекти, придонесувајќи за регионалниот и руралниот развој.</w:t>
      </w:r>
    </w:p>
    <w:p w14:paraId="74C574B6" w14:textId="330A889C" w:rsidR="00F02E1C" w:rsidRDefault="00F02E1C" w:rsidP="00F02E1C">
      <w:pPr>
        <w:spacing w:before="100" w:beforeAutospacing="1" w:after="100" w:afterAutospacing="1"/>
        <w:jc w:val="both"/>
        <w:rPr>
          <w:rFonts w:cs="Calibri"/>
          <w:lang w:eastAsia="en-GB"/>
        </w:rPr>
      </w:pPr>
      <w:r w:rsidRPr="00F02E1C">
        <w:rPr>
          <w:rFonts w:cs="Calibri"/>
          <w:b/>
          <w:lang w:eastAsia="en-GB"/>
        </w:rPr>
        <w:t xml:space="preserve">Поддршка од Француската агенција за развој (AFD): </w:t>
      </w:r>
      <w:r w:rsidRPr="00F02E1C">
        <w:rPr>
          <w:rFonts w:cs="Calibri"/>
          <w:lang w:eastAsia="en-GB"/>
        </w:rPr>
        <w:t>АФД обезбеди кредитна линија од 50 милиони евра на Банката за развој на Северна Македонија (DBNM) за финансирање инвестиции на приватни компании во зелени проекти, вклучително и енергетска ефикасност и обновливи извори на енергија.</w:t>
      </w:r>
    </w:p>
    <w:p w14:paraId="05D7DA0B" w14:textId="77777777" w:rsidR="00624278" w:rsidRPr="00624278" w:rsidRDefault="00624278" w:rsidP="00624278">
      <w:pPr>
        <w:spacing w:before="100" w:beforeAutospacing="1" w:after="100" w:afterAutospacing="1"/>
        <w:jc w:val="both"/>
        <w:rPr>
          <w:rFonts w:cs="Calibri"/>
          <w:lang w:eastAsia="en-GB"/>
        </w:rPr>
      </w:pPr>
      <w:r w:rsidRPr="00624278">
        <w:rPr>
          <w:rFonts w:cs="Calibri"/>
          <w:b/>
          <w:lang w:eastAsia="en-GB"/>
        </w:rPr>
        <w:t xml:space="preserve">Европска мрежа на претпријатија (EEN): </w:t>
      </w:r>
      <w:r w:rsidRPr="00624278">
        <w:rPr>
          <w:rFonts w:cs="Calibri"/>
          <w:lang w:eastAsia="en-GB"/>
        </w:rPr>
        <w:t>EEN во Северна Македонија им помага на малите и средни претпријатија да најдат деловни партнери во ЕУ, да пристапат до нови пазари и да добијат поддршка во иновациите и технологијата. Локалните точки за контакт ги вклучуваат Фондацијата за менаџмент и индустриски истражувања и Универзитетот Св. Кирил и Методиј во Скопје.</w:t>
      </w:r>
    </w:p>
    <w:p w14:paraId="2353F19C" w14:textId="0CB53B94" w:rsidR="00624278" w:rsidRDefault="00624278" w:rsidP="00624278">
      <w:pPr>
        <w:spacing w:before="100" w:beforeAutospacing="1" w:after="100" w:afterAutospacing="1"/>
        <w:jc w:val="both"/>
        <w:rPr>
          <w:rFonts w:cs="Calibri"/>
          <w:b/>
          <w:lang w:eastAsia="en-GB"/>
        </w:rPr>
      </w:pPr>
      <w:r w:rsidRPr="00624278">
        <w:rPr>
          <w:rFonts w:cs="Calibri"/>
          <w:b/>
          <w:lang w:eastAsia="en-GB"/>
        </w:rPr>
        <w:t xml:space="preserve">Банка за развој на Северна Македонија (ДБНМ): </w:t>
      </w:r>
      <w:r w:rsidRPr="00624278">
        <w:rPr>
          <w:rFonts w:cs="Calibri"/>
          <w:lang w:eastAsia="en-GB"/>
        </w:rPr>
        <w:t>ДБНМ, со поддршка на меѓународни финансиски институции, развива одржливи финансиски производи за поддршка на зелените инвестиции од МСП. Овие производи вклучуваат поволни заеми за проекти за енергетска ефикасност и обновливи извори на енергија.</w:t>
      </w:r>
    </w:p>
    <w:p w14:paraId="4689EE3C" w14:textId="6CDB8A52" w:rsidR="009E5D90" w:rsidRDefault="009E5D90" w:rsidP="009E5D90">
      <w:pPr>
        <w:spacing w:before="100" w:beforeAutospacing="1" w:after="100" w:afterAutospacing="1"/>
        <w:jc w:val="both"/>
        <w:rPr>
          <w:rFonts w:cs="Calibri"/>
          <w:bCs/>
          <w:lang w:val="mk-MK" w:eastAsia="en-GB"/>
        </w:rPr>
      </w:pPr>
      <w:r w:rsidRPr="009E5D90">
        <w:rPr>
          <w:rFonts w:cs="Calibri"/>
          <w:b/>
          <w:lang w:val="en-US" w:eastAsia="en-GB"/>
        </w:rPr>
        <w:t>I</w:t>
      </w:r>
      <w:r w:rsidRPr="009E5D90">
        <w:rPr>
          <w:rFonts w:cs="Calibri"/>
          <w:b/>
          <w:lang w:eastAsia="en-GB"/>
        </w:rPr>
        <w:t xml:space="preserve">nvestEU (2021–2027) </w:t>
      </w:r>
      <w:r w:rsidRPr="009E5D90">
        <w:rPr>
          <w:rFonts w:cs="Calibri"/>
          <w:bCs/>
          <w:lang w:eastAsia="en-GB"/>
        </w:rPr>
        <w:t>има цел да го олесни пристапот до финансии за мали и средни претпријатија (МСП) и стартапи преку финансиски инструменти што се достапни за земјите од Западен Балкан, вклучително и Северна Македонија.</w:t>
      </w:r>
      <w:r w:rsidR="00E2696C">
        <w:rPr>
          <w:rFonts w:cs="Calibri"/>
          <w:bCs/>
          <w:lang w:val="en-US" w:eastAsia="en-GB"/>
        </w:rPr>
        <w:t xml:space="preserve"> </w:t>
      </w:r>
      <w:r w:rsidR="00E2696C">
        <w:rPr>
          <w:rFonts w:cs="Calibri"/>
          <w:bCs/>
          <w:lang w:val="mk-MK" w:eastAsia="en-GB"/>
        </w:rPr>
        <w:t>Повеќе информации во</w:t>
      </w:r>
      <w:r w:rsidR="00E2696C">
        <w:rPr>
          <w:rFonts w:cs="Calibri"/>
          <w:bCs/>
          <w:lang w:val="en-US" w:eastAsia="en-GB"/>
        </w:rPr>
        <w:t xml:space="preserve"> </w:t>
      </w:r>
      <w:hyperlink r:id="rId9" w:history="1">
        <w:r w:rsidR="00096C06" w:rsidRPr="00A350FA">
          <w:rPr>
            <w:rStyle w:val="Hyperlink"/>
            <w:rFonts w:cs="Calibri"/>
            <w:bCs/>
            <w:lang w:val="en-US" w:eastAsia="en-GB"/>
          </w:rPr>
          <w:t>https://investeu.europa.eu/index_en</w:t>
        </w:r>
      </w:hyperlink>
      <w:r w:rsidR="00E2696C">
        <w:rPr>
          <w:rFonts w:cs="Calibri"/>
          <w:bCs/>
          <w:lang w:val="mk-MK" w:eastAsia="en-GB"/>
        </w:rPr>
        <w:t>.</w:t>
      </w:r>
    </w:p>
    <w:p w14:paraId="64CA48F1" w14:textId="4C0DF702" w:rsidR="00096C06" w:rsidRDefault="00096C06" w:rsidP="009E5D90">
      <w:pPr>
        <w:spacing w:before="100" w:beforeAutospacing="1" w:after="100" w:afterAutospacing="1"/>
        <w:jc w:val="both"/>
        <w:rPr>
          <w:rFonts w:cs="Calibri"/>
          <w:bCs/>
          <w:lang w:val="mk-MK" w:eastAsia="en-GB"/>
        </w:rPr>
      </w:pPr>
      <w:r w:rsidRPr="00096C06">
        <w:rPr>
          <w:rFonts w:cs="Calibri"/>
          <w:b/>
          <w:bCs/>
          <w:lang w:eastAsia="en-GB"/>
        </w:rPr>
        <w:t>Хоризонт Европа</w:t>
      </w:r>
      <w:r w:rsidRPr="00096C06">
        <w:rPr>
          <w:rFonts w:cs="Calibri"/>
          <w:b/>
          <w:lang w:eastAsia="en-GB"/>
        </w:rPr>
        <w:t xml:space="preserve"> (2021–2027) </w:t>
      </w:r>
      <w:r w:rsidRPr="00096C06">
        <w:rPr>
          <w:rFonts w:cs="Calibri"/>
          <w:bCs/>
          <w:lang w:eastAsia="en-GB"/>
        </w:rPr>
        <w:t>е водечката програма на Европската унија за истражување и иновации.</w:t>
      </w:r>
      <w:r>
        <w:rPr>
          <w:rFonts w:cs="Calibri"/>
          <w:bCs/>
          <w:lang w:val="mk-MK" w:eastAsia="en-GB"/>
        </w:rPr>
        <w:t xml:space="preserve"> </w:t>
      </w:r>
      <w:r w:rsidRPr="00096C06">
        <w:rPr>
          <w:rFonts w:cs="Calibri"/>
          <w:bCs/>
          <w:lang w:eastAsia="en-GB"/>
        </w:rPr>
        <w:t>Програмата е достапна за правни субјекти од Северна Македонија, бидејќи земјата е полноправна членка на Хоризонт Европа преку асоцијациски договор.МСП, истражувачки центри и универзитети од Северна Македонија може да аплицираат за финансиска поддршка за проекти во иновации, зелени технологии, дигитализација и циркуларна економија.</w:t>
      </w:r>
    </w:p>
    <w:p w14:paraId="2C7E5DEE" w14:textId="70286EE9" w:rsidR="005E325A" w:rsidRPr="005E325A" w:rsidRDefault="005E325A" w:rsidP="009E5D90">
      <w:pPr>
        <w:spacing w:before="100" w:beforeAutospacing="1" w:after="100" w:afterAutospacing="1"/>
        <w:jc w:val="both"/>
        <w:rPr>
          <w:rFonts w:cs="Calibri"/>
          <w:b/>
          <w:lang w:val="mk-MK" w:eastAsia="en-GB"/>
        </w:rPr>
      </w:pPr>
      <w:r>
        <w:rPr>
          <w:rStyle w:val="Strong"/>
          <w:rFonts w:eastAsiaTheme="majorEastAsia"/>
        </w:rPr>
        <w:t>Програма за развој на Обединетите нации (УНДП):</w:t>
      </w:r>
      <w:r>
        <w:rPr>
          <w:rStyle w:val="Strong"/>
          <w:rFonts w:eastAsiaTheme="majorEastAsia"/>
          <w:lang w:val="mk-MK"/>
        </w:rPr>
        <w:t xml:space="preserve"> </w:t>
      </w:r>
      <w:r>
        <w:t xml:space="preserve">УНДП во Северна Македонија активно спроведува иницијативи за подобрување на пристапот до зелено финансирање преку програмата </w:t>
      </w:r>
      <w:r>
        <w:rPr>
          <w:rStyle w:val="Strong"/>
          <w:rFonts w:eastAsiaTheme="majorEastAsia"/>
        </w:rPr>
        <w:t>Green Finance Facility (GFF)</w:t>
      </w:r>
      <w:r>
        <w:t>.Оваа програма обезбедува техничка поддршка за подготовка на проекти, физибилити студии, економски анализи и енергетски аудити, со цел олеснување на пристапот до поволни финансиски инструменти за проекти за енергетска ефикасност и климатска адаптација.</w:t>
      </w:r>
    </w:p>
    <w:p w14:paraId="42A42876" w14:textId="033159F6" w:rsidR="00B205C7" w:rsidRPr="00FE014F" w:rsidRDefault="00B205C7" w:rsidP="00B205C7">
      <w:pPr>
        <w:spacing w:before="100" w:beforeAutospacing="1" w:after="100" w:afterAutospacing="1"/>
        <w:jc w:val="both"/>
        <w:rPr>
          <w:rFonts w:cs="Calibri"/>
          <w:lang w:eastAsia="en-GB"/>
        </w:rPr>
      </w:pPr>
      <w:r w:rsidRPr="00FE014F">
        <w:rPr>
          <w:rFonts w:cs="Calibri"/>
          <w:b/>
          <w:lang w:eastAsia="en-GB"/>
        </w:rPr>
        <w:t xml:space="preserve">Инструмент на ЕУ за претпристапна помош за рурален развој (ИПАРД): </w:t>
      </w:r>
      <w:r w:rsidRPr="00FE014F">
        <w:rPr>
          <w:rFonts w:cs="Calibri"/>
          <w:lang w:eastAsia="en-GB"/>
        </w:rPr>
        <w:t xml:space="preserve">ИПАРД програмата (Инструмент за претпристапна помош за рурален развој) претставува одлична можност за малите и средни претпријатија да го подобрат својот бизнис, а истовремено да придонесуваат за заштита на животната средина. Субвенциите за ИПАРД покриваат до 50% од вкупните прифатливи инвестициски трошоци, а за инвестиции во управување со отпад, отпадни води, производство и складирање на обновливи извори на енергија или други проекти за циркуларна економија, поддршката се зголемува за дополнителни 10%. МСП во прехранбената индустрија кои инвестираат во преработка и маркетинг на земјоделски и рибни производи можат да добијат субвенции до 60% од вкупната вредност на инвестицијата. Средствата се доделуваат преку јавни повици, а програмата е достапна за компании во </w:t>
      </w:r>
      <w:r w:rsidR="00DE37A2" w:rsidRPr="00FE014F">
        <w:rPr>
          <w:rFonts w:cs="Calibri"/>
          <w:lang w:val="mk-MK" w:eastAsia="en-GB"/>
        </w:rPr>
        <w:t>Србија</w:t>
      </w:r>
      <w:r w:rsidRPr="00FE014F">
        <w:rPr>
          <w:rFonts w:cs="Calibri"/>
          <w:lang w:eastAsia="en-GB"/>
        </w:rPr>
        <w:t xml:space="preserve"> и Северна Македонија .</w:t>
      </w:r>
    </w:p>
    <w:p w14:paraId="487C21A3" w14:textId="7C67C838" w:rsidR="00624278" w:rsidRDefault="00624278" w:rsidP="00624278">
      <w:pPr>
        <w:spacing w:before="100" w:beforeAutospacing="1" w:after="100" w:afterAutospacing="1"/>
        <w:jc w:val="both"/>
        <w:rPr>
          <w:rFonts w:cs="Calibri"/>
          <w:lang w:eastAsia="en-GB"/>
        </w:rPr>
      </w:pPr>
      <w:r w:rsidRPr="00624278">
        <w:rPr>
          <w:rFonts w:cs="Calibri"/>
          <w:lang w:eastAsia="en-GB"/>
        </w:rPr>
        <w:t xml:space="preserve">Малите и средните претпријатија во Северна Македонија се охрабруваат да ги истражат овие можности и да контактираат со наведените институции за да добијат подетални информации за условите за финансирање и поддршката достапна за нивните специфични потреби во процесот на </w:t>
      </w:r>
      <w:r w:rsidR="003B7A49">
        <w:rPr>
          <w:rFonts w:cs="Calibri"/>
          <w:lang w:eastAsia="en-GB"/>
        </w:rPr>
        <w:t>озеленување</w:t>
      </w:r>
      <w:r w:rsidRPr="00624278">
        <w:rPr>
          <w:rFonts w:cs="Calibri"/>
          <w:lang w:eastAsia="en-GB"/>
        </w:rPr>
        <w:t xml:space="preserve"> на нивните бизниси.</w:t>
      </w:r>
    </w:p>
    <w:p w14:paraId="52605BBC" w14:textId="0B39EE6A" w:rsidR="00624278" w:rsidRPr="00624278" w:rsidRDefault="00624278" w:rsidP="00624278">
      <w:pPr>
        <w:spacing w:before="100" w:beforeAutospacing="1" w:after="100" w:afterAutospacing="1"/>
        <w:jc w:val="both"/>
        <w:rPr>
          <w:rFonts w:cs="Calibri"/>
          <w:lang w:eastAsia="en-GB"/>
        </w:rPr>
      </w:pPr>
      <w:r w:rsidRPr="00624278">
        <w:rPr>
          <w:rFonts w:cs="Calibri"/>
          <w:lang w:eastAsia="en-GB"/>
        </w:rPr>
        <w:t>Малите и средните претпријатија (МСП) во Северна Македонија имаат пристап до голем број институции и програми кои обезбедуваат финансиска и нефинансиска поддршка за озеленување на нивните бизниси. Истражувањето на овие можности и воспоставувањето контакт со релевантни организации може да им помогне на МСП да добијат детални информации за условите за финансирање и поддршка прилагодена на нивните специфични потреби во процесот на зелена транзиција.</w:t>
      </w:r>
    </w:p>
    <w:p w14:paraId="485732FF" w14:textId="2C848780" w:rsidR="00624278" w:rsidRPr="00624278" w:rsidRDefault="00624278" w:rsidP="00624278">
      <w:pPr>
        <w:spacing w:before="100" w:beforeAutospacing="1" w:after="100" w:afterAutospacing="1"/>
        <w:jc w:val="both"/>
        <w:rPr>
          <w:rFonts w:cs="Calibri"/>
          <w:lang w:eastAsia="en-GB"/>
        </w:rPr>
      </w:pPr>
      <w:r w:rsidRPr="00624278">
        <w:rPr>
          <w:rFonts w:cs="Calibri"/>
          <w:b/>
          <w:lang w:eastAsia="en-GB"/>
        </w:rPr>
        <w:t xml:space="preserve">Стопанска комора на Северна Македонија: </w:t>
      </w:r>
      <w:r w:rsidRPr="00624278">
        <w:rPr>
          <w:rFonts w:cs="Calibri"/>
          <w:lang w:eastAsia="en-GB"/>
        </w:rPr>
        <w:t>Стопанската комора обезбедува поддршка на бизнисите преку различни услуги, вклучително образование, вмрежување и консалтинг. Со тоа што ќе станат членка на Комората, МСП можат да пристапат до информации за деловни можности, обуки и настани кои поддржуваат одржлив бизнис.</w:t>
      </w:r>
    </w:p>
    <w:p w14:paraId="18D8F2F7" w14:textId="12E595EC" w:rsidR="00624278" w:rsidRPr="00624278" w:rsidRDefault="00624278" w:rsidP="00624278">
      <w:pPr>
        <w:spacing w:before="100" w:beforeAutospacing="1" w:after="100" w:afterAutospacing="1"/>
        <w:jc w:val="both"/>
        <w:rPr>
          <w:rFonts w:cs="Calibri"/>
          <w:lang w:eastAsia="en-GB"/>
        </w:rPr>
      </w:pPr>
      <w:r w:rsidRPr="00624278">
        <w:rPr>
          <w:rFonts w:cs="Calibri"/>
          <w:b/>
          <w:lang w:eastAsia="en-GB"/>
        </w:rPr>
        <w:t xml:space="preserve">Агенција за промоција на претприемништвото (АППРМ): </w:t>
      </w:r>
      <w:r w:rsidRPr="00624278">
        <w:rPr>
          <w:rFonts w:cs="Calibri"/>
          <w:lang w:eastAsia="en-GB"/>
        </w:rPr>
        <w:t>АППРМ е државна институција одговорна за спроведување на политики за поддршка на МСП. Обезбедува информации за програми за поддршка, финансиски инструменти и советодавни услуги за компании кои сакаат да го подобрат својот бизнис.</w:t>
      </w:r>
    </w:p>
    <w:p w14:paraId="48F4104F" w14:textId="72729AC7" w:rsidR="00B205C7" w:rsidRDefault="00624278" w:rsidP="00624278">
      <w:pPr>
        <w:spacing w:before="100" w:beforeAutospacing="1" w:after="100" w:afterAutospacing="1"/>
        <w:jc w:val="both"/>
        <w:rPr>
          <w:rFonts w:cs="Calibri"/>
          <w:lang w:eastAsia="en-GB"/>
        </w:rPr>
      </w:pPr>
      <w:r w:rsidRPr="00624278">
        <w:rPr>
          <w:rFonts w:cs="Calibri"/>
          <w:lang w:eastAsia="en-GB"/>
        </w:rPr>
        <w:t>МСП се охрабруваат редовно да ги следат официјалните повици за предлози за проекти, кои се објавени на веб-страниците на наведените институции и на порталот за финансирање и тендери на Европската комисија. Секој повик содржи детални информации за условите, критериумите за подобност и начинот на аплицирање. Се препорачува МСП редовно да ги следат овие извори и да се консултираат со експерти или релевантни институции за да обезбедат успешна апликација и да ги искористат достапните можности за финансирање.</w:t>
      </w:r>
    </w:p>
    <w:p w14:paraId="4E2571EC" w14:textId="0D9040E8" w:rsidR="00E971BE" w:rsidRDefault="00147EA8" w:rsidP="008B53FC">
      <w:pPr>
        <w:rPr>
          <w:rFonts w:asciiTheme="minorHAnsi" w:hAnsiTheme="minorHAnsi"/>
        </w:rPr>
      </w:pPr>
      <w:r>
        <w:rPr>
          <w:rFonts w:asciiTheme="minorHAnsi" w:hAnsiTheme="minorHAnsi"/>
        </w:rPr>
        <w:br w:type="page"/>
      </w:r>
    </w:p>
    <w:p w14:paraId="2D288147" w14:textId="651AF979" w:rsidR="008B53FC" w:rsidRPr="00260370" w:rsidRDefault="00260370" w:rsidP="008B53FC">
      <w:pPr>
        <w:pStyle w:val="Heading1"/>
        <w:spacing w:before="0" w:after="0"/>
        <w:rPr>
          <w:rFonts w:asciiTheme="minorHAnsi" w:hAnsiTheme="minorHAnsi" w:cstheme="minorHAnsi"/>
          <w:b/>
          <w:bCs/>
          <w:color w:val="17365D" w:themeColor="text2" w:themeShade="BF"/>
          <w:sz w:val="24"/>
          <w:szCs w:val="24"/>
        </w:rPr>
      </w:pPr>
      <w:bookmarkStart w:id="15" w:name="_Toc195047171"/>
      <w:r w:rsidRPr="00260370">
        <w:rPr>
          <w:rFonts w:asciiTheme="minorHAnsi" w:hAnsiTheme="minorHAnsi" w:cstheme="minorHAnsi"/>
          <w:b/>
          <w:bCs/>
          <w:color w:val="17365D" w:themeColor="text2" w:themeShade="BF"/>
          <w:sz w:val="24"/>
          <w:szCs w:val="24"/>
        </w:rPr>
        <w:t>5. Литература</w:t>
      </w:r>
      <w:bookmarkEnd w:id="15"/>
    </w:p>
    <w:p w14:paraId="586E96E4" w14:textId="77777777" w:rsidR="008B5616" w:rsidRPr="003B3302" w:rsidRDefault="008B5616" w:rsidP="008B5616"/>
    <w:p w14:paraId="188BB2AE" w14:textId="0DC74DCB" w:rsidR="00A66206" w:rsidRPr="00B579F1" w:rsidRDefault="00A66206" w:rsidP="004A1DB8">
      <w:pPr>
        <w:pStyle w:val="ListParagraph"/>
        <w:numPr>
          <w:ilvl w:val="0"/>
          <w:numId w:val="3"/>
        </w:numPr>
        <w:jc w:val="both"/>
      </w:pPr>
      <w:r w:rsidRPr="00B579F1">
        <w:t xml:space="preserve">Министерство за заштита на животната средина на Република </w:t>
      </w:r>
      <w:r w:rsidR="00CA5999">
        <w:t>Северна Македонија</w:t>
      </w:r>
      <w:r w:rsidRPr="00B579F1">
        <w:t>. „Национална стратегија за одржлив развој“ (2021).</w:t>
      </w:r>
    </w:p>
    <w:p w14:paraId="42526FA3" w14:textId="77777777" w:rsidR="00A66206" w:rsidRPr="00B579F1" w:rsidRDefault="00A66206" w:rsidP="004A1DB8">
      <w:pPr>
        <w:pStyle w:val="ListParagraph"/>
        <w:numPr>
          <w:ilvl w:val="0"/>
          <w:numId w:val="3"/>
        </w:numPr>
        <w:jc w:val="both"/>
      </w:pPr>
      <w:r w:rsidRPr="00B579F1">
        <w:t>Европска алијанса за мали бизниси (ESBA). „Одржливи деловни практики за мали и средни претпријатија“ (2020).</w:t>
      </w:r>
    </w:p>
    <w:p w14:paraId="5BD1D290" w14:textId="6ADD98A1" w:rsidR="00A66206" w:rsidRPr="00B579F1" w:rsidRDefault="00A66206" w:rsidP="004A1DB8">
      <w:pPr>
        <w:pStyle w:val="ListParagraph"/>
        <w:numPr>
          <w:ilvl w:val="0"/>
          <w:numId w:val="3"/>
        </w:numPr>
        <w:jc w:val="both"/>
      </w:pPr>
      <w:r w:rsidRPr="00B579F1">
        <w:t>ОЕЦД (Организација за економска соработка и развој). „Зелен раст и одржлив развој“ (2019).</w:t>
      </w:r>
    </w:p>
    <w:p w14:paraId="7978884F" w14:textId="20CC61D4" w:rsidR="00A66206" w:rsidRPr="00B579F1" w:rsidRDefault="00A66206" w:rsidP="004A1DB8">
      <w:pPr>
        <w:pStyle w:val="ListParagraph"/>
        <w:numPr>
          <w:ilvl w:val="0"/>
          <w:numId w:val="3"/>
        </w:numPr>
        <w:jc w:val="both"/>
      </w:pPr>
      <w:r w:rsidRPr="00B579F1">
        <w:t>Европската комисија. „ЕУ Таксономија за одржливи активности“ (2020).</w:t>
      </w:r>
    </w:p>
    <w:p w14:paraId="20123995" w14:textId="77777777" w:rsidR="00A66206" w:rsidRPr="00B579F1" w:rsidRDefault="00A66206" w:rsidP="004A1DB8">
      <w:pPr>
        <w:pStyle w:val="ListParagraph"/>
        <w:numPr>
          <w:ilvl w:val="0"/>
          <w:numId w:val="3"/>
        </w:numPr>
        <w:jc w:val="both"/>
      </w:pPr>
      <w:r w:rsidRPr="00B579F1">
        <w:t>Принципи за одговорно инвестирање (ПРИ). „Принципи за одговорно инвестирање“ (2019).</w:t>
      </w:r>
    </w:p>
    <w:p w14:paraId="7637DEC5" w14:textId="77777777" w:rsidR="00A66206" w:rsidRPr="00B579F1" w:rsidRDefault="00A66206" w:rsidP="004A1DB8">
      <w:pPr>
        <w:pStyle w:val="ListParagraph"/>
        <w:numPr>
          <w:ilvl w:val="0"/>
          <w:numId w:val="3"/>
        </w:numPr>
        <w:jc w:val="both"/>
      </w:pPr>
      <w:r w:rsidRPr="00B579F1">
        <w:t>Групацијата на Светска банка. „Зелени финансии: нов пат напред“ (2020).</w:t>
      </w:r>
    </w:p>
    <w:p w14:paraId="586A1D02" w14:textId="77777777" w:rsidR="00A66206" w:rsidRPr="00B579F1" w:rsidRDefault="00A66206" w:rsidP="004A1DB8">
      <w:pPr>
        <w:pStyle w:val="ListParagraph"/>
        <w:numPr>
          <w:ilvl w:val="0"/>
          <w:numId w:val="3"/>
        </w:numPr>
        <w:jc w:val="both"/>
      </w:pPr>
      <w:r w:rsidRPr="00B579F1">
        <w:t>Меѓународна асоцијација за пазар на капитал (ICMA). „Принципи на зелените обврзници“ (2021).</w:t>
      </w:r>
    </w:p>
    <w:p w14:paraId="79E7AFDD" w14:textId="18DDBAC0" w:rsidR="00A66206" w:rsidRPr="00B579F1" w:rsidRDefault="00A66206" w:rsidP="004A1DB8">
      <w:pPr>
        <w:pStyle w:val="ListParagraph"/>
        <w:numPr>
          <w:ilvl w:val="0"/>
          <w:numId w:val="3"/>
        </w:numPr>
        <w:jc w:val="both"/>
      </w:pPr>
      <w:r w:rsidRPr="00B579F1">
        <w:t>Извор: Global Reporting Initiative (GRI). „Стандарди за известување за одржливост“ (2016).</w:t>
      </w:r>
    </w:p>
    <w:p w14:paraId="045867EC" w14:textId="77777777" w:rsidR="00B47323" w:rsidRPr="00B579F1" w:rsidRDefault="00B47323" w:rsidP="004A1DB8">
      <w:pPr>
        <w:pStyle w:val="ListParagraph"/>
        <w:numPr>
          <w:ilvl w:val="0"/>
          <w:numId w:val="3"/>
        </w:numPr>
        <w:jc w:val="both"/>
      </w:pPr>
      <w:r w:rsidRPr="00B579F1">
        <w:t>Европска комисија – таксономски компас на ЕУ: https://finance.ec.europa.eu/eu-taxonomy-regulation</w:t>
      </w:r>
    </w:p>
    <w:p w14:paraId="4E976CB3" w14:textId="77777777" w:rsidR="00B47323" w:rsidRPr="00B579F1" w:rsidRDefault="00B47323" w:rsidP="004A1DB8">
      <w:pPr>
        <w:pStyle w:val="ListParagraph"/>
        <w:numPr>
          <w:ilvl w:val="0"/>
          <w:numId w:val="3"/>
        </w:numPr>
        <w:jc w:val="both"/>
      </w:pPr>
      <w:r w:rsidRPr="00B579F1">
        <w:t>Европска комисија – Акционен план за одржливи финансии: https://finance.ec.europa.eu/sustainable-finance</w:t>
      </w:r>
    </w:p>
    <w:p w14:paraId="2231F010" w14:textId="77777777" w:rsidR="00B47323" w:rsidRPr="00B579F1" w:rsidRDefault="00B47323" w:rsidP="004A1DB8">
      <w:pPr>
        <w:pStyle w:val="ListParagraph"/>
        <w:numPr>
          <w:ilvl w:val="0"/>
          <w:numId w:val="3"/>
        </w:numPr>
        <w:jc w:val="both"/>
      </w:pPr>
      <w:r w:rsidRPr="00B579F1">
        <w:t>Службен весник на ЕУ - Регулатива за таксономија на ЕУ (2020/852)</w:t>
      </w:r>
    </w:p>
    <w:p w14:paraId="239B7BBA" w14:textId="77777777" w:rsidR="00B47323" w:rsidRPr="00B579F1" w:rsidRDefault="00B47323" w:rsidP="004A1DB8">
      <w:pPr>
        <w:pStyle w:val="ListParagraph"/>
        <w:numPr>
          <w:ilvl w:val="0"/>
          <w:numId w:val="3"/>
        </w:numPr>
        <w:jc w:val="both"/>
      </w:pPr>
      <w:r w:rsidRPr="00B579F1">
        <w:t>Европска инвестициска банка - Green Finance.</w:t>
      </w:r>
    </w:p>
    <w:p w14:paraId="12AC4B7B" w14:textId="54217BE9" w:rsidR="00B47323" w:rsidRPr="00B579F1" w:rsidRDefault="00B47323" w:rsidP="004A1DB8">
      <w:pPr>
        <w:pStyle w:val="ListParagraph"/>
        <w:numPr>
          <w:ilvl w:val="0"/>
          <w:numId w:val="3"/>
        </w:numPr>
        <w:jc w:val="both"/>
      </w:pPr>
      <w:r w:rsidRPr="00B579F1">
        <w:t>ОЕЦД - Финансирање на мали и средни претпријатија за одржливост</w:t>
      </w:r>
    </w:p>
    <w:p w14:paraId="0D520D2D" w14:textId="77A8D0F9" w:rsidR="00B47323" w:rsidRPr="00B579F1" w:rsidRDefault="00B47323" w:rsidP="004A1DB8">
      <w:pPr>
        <w:pStyle w:val="ListParagraph"/>
        <w:numPr>
          <w:ilvl w:val="0"/>
          <w:numId w:val="3"/>
        </w:numPr>
        <w:jc w:val="both"/>
      </w:pPr>
      <w:r w:rsidRPr="00B579F1">
        <w:t>GIZ / EU4Green / UNDP – Практични прирачници и водичи за одржлив бизнис и финансирање во регионот на Западен Балкан</w:t>
      </w:r>
    </w:p>
    <w:p w14:paraId="335F611A" w14:textId="598838DA" w:rsidR="00B47323" w:rsidRPr="00B579F1" w:rsidRDefault="00B47323" w:rsidP="004A1DB8">
      <w:pPr>
        <w:pStyle w:val="ListParagraph"/>
        <w:numPr>
          <w:ilvl w:val="0"/>
          <w:numId w:val="3"/>
        </w:numPr>
        <w:jc w:val="both"/>
      </w:pPr>
      <w:r w:rsidRPr="00B579F1">
        <w:t>Европска комисија - Одржливи финансии и обелоденувања на ESG</w:t>
      </w:r>
    </w:p>
    <w:p w14:paraId="443CAB21" w14:textId="77777777" w:rsidR="00B47323" w:rsidRPr="00B579F1" w:rsidRDefault="00B47323" w:rsidP="004A1DB8">
      <w:pPr>
        <w:pStyle w:val="ListParagraph"/>
        <w:numPr>
          <w:ilvl w:val="0"/>
          <w:numId w:val="3"/>
        </w:numPr>
        <w:jc w:val="both"/>
      </w:pPr>
      <w:r w:rsidRPr="00B579F1">
        <w:t>ОЕЦД - Управување со еколошки и социјален ризик за мали и средни претпријатија</w:t>
      </w:r>
    </w:p>
    <w:p w14:paraId="1BD4C731" w14:textId="37B8B676" w:rsidR="00B47323" w:rsidRPr="00B579F1" w:rsidRDefault="00B47323" w:rsidP="004A1DB8">
      <w:pPr>
        <w:pStyle w:val="ListParagraph"/>
        <w:numPr>
          <w:ilvl w:val="0"/>
          <w:numId w:val="3"/>
        </w:numPr>
        <w:jc w:val="both"/>
      </w:pPr>
      <w:r w:rsidRPr="00B579F1">
        <w:t>GIZ / EU4Green – Прирачници за зелена економија и одржлив бизнис за мали и средни претпријатија</w:t>
      </w:r>
    </w:p>
    <w:p w14:paraId="4CEA627D" w14:textId="77777777" w:rsidR="00B47323" w:rsidRPr="00B579F1" w:rsidRDefault="00B47323" w:rsidP="004A1DB8">
      <w:pPr>
        <w:pStyle w:val="ListParagraph"/>
        <w:numPr>
          <w:ilvl w:val="0"/>
          <w:numId w:val="3"/>
        </w:numPr>
        <w:jc w:val="both"/>
      </w:pPr>
      <w:r w:rsidRPr="00B579F1">
        <w:t>Глобален договор на ОН - Известување за ESG за мали бизниси</w:t>
      </w:r>
    </w:p>
    <w:p w14:paraId="56D13E62" w14:textId="77777777" w:rsidR="00B47323" w:rsidRPr="00B579F1" w:rsidRDefault="00B47323" w:rsidP="004A1DB8">
      <w:pPr>
        <w:pStyle w:val="ListParagraph"/>
        <w:numPr>
          <w:ilvl w:val="0"/>
          <w:numId w:val="3"/>
        </w:numPr>
        <w:jc w:val="both"/>
      </w:pPr>
      <w:r w:rsidRPr="00B579F1">
        <w:t>Меѓународна финансиска корпорација (IFC) - Стандарди за изведба за еколошка и социјална одржливост</w:t>
      </w:r>
    </w:p>
    <w:p w14:paraId="2265E23C" w14:textId="345321CD" w:rsidR="00B47323" w:rsidRPr="00B579F1" w:rsidRDefault="00B47323" w:rsidP="004A1DB8">
      <w:pPr>
        <w:pStyle w:val="ListParagraph"/>
        <w:numPr>
          <w:ilvl w:val="0"/>
          <w:numId w:val="3"/>
        </w:numPr>
        <w:jc w:val="both"/>
      </w:pPr>
      <w:r w:rsidRPr="00B579F1">
        <w:t>ЕИБ (Европска инвестициска банка) - Насоки за зелено и одржливо финансирање</w:t>
      </w:r>
    </w:p>
    <w:p w14:paraId="361F7F3E" w14:textId="77777777" w:rsidR="00E45985" w:rsidRPr="007B5383" w:rsidRDefault="00E45985" w:rsidP="003762B6">
      <w:pPr>
        <w:rPr>
          <w:lang w:val="mk-MK"/>
        </w:rPr>
      </w:pPr>
    </w:p>
    <w:p w14:paraId="5F8FBD10" w14:textId="5748CE5D" w:rsidR="003762B6" w:rsidRPr="007B5383" w:rsidRDefault="003762B6" w:rsidP="003762B6">
      <w:r w:rsidRPr="007B5383">
        <w:t>Интернет извори:</w:t>
      </w:r>
    </w:p>
    <w:p w14:paraId="285509EC" w14:textId="77777777" w:rsidR="003762B6" w:rsidRPr="007B5383" w:rsidRDefault="003762B6" w:rsidP="003762B6"/>
    <w:tbl>
      <w:tblPr>
        <w:tblStyle w:val="TableGrid"/>
        <w:tblW w:w="0" w:type="auto"/>
        <w:tblLook w:val="04A0" w:firstRow="1" w:lastRow="0" w:firstColumn="1" w:lastColumn="0" w:noHBand="0" w:noVBand="1"/>
      </w:tblPr>
      <w:tblGrid>
        <w:gridCol w:w="4344"/>
        <w:gridCol w:w="5309"/>
      </w:tblGrid>
      <w:tr w:rsidR="007B5383" w:rsidRPr="007B5383" w14:paraId="4DC495D1" w14:textId="77777777" w:rsidTr="00E45985">
        <w:tc>
          <w:tcPr>
            <w:tcW w:w="4570" w:type="dxa"/>
            <w:vAlign w:val="center"/>
          </w:tcPr>
          <w:p w14:paraId="1AE4D6A7" w14:textId="759DBE7C" w:rsidR="00E45985" w:rsidRPr="007B5383" w:rsidRDefault="00E45985" w:rsidP="00E45985">
            <w:pPr>
              <w:jc w:val="both"/>
            </w:pPr>
            <w:r w:rsidRPr="007B5383">
              <w:rPr>
                <w:rFonts w:cs="Calibri"/>
                <w:lang w:val="en-US"/>
              </w:rPr>
              <w:t xml:space="preserve">Енергетска мрежа. </w:t>
            </w:r>
            <w:proofErr w:type="spellStart"/>
            <w:r w:rsidRPr="007B5383">
              <w:rPr>
                <w:rFonts w:cs="Calibri"/>
                <w:lang w:val="en-US"/>
              </w:rPr>
              <w:t>Термички</w:t>
            </w:r>
            <w:proofErr w:type="spellEnd"/>
            <w:r w:rsidRPr="007B5383">
              <w:rPr>
                <w:rFonts w:cs="Calibri"/>
                <w:lang w:val="en-US"/>
              </w:rPr>
              <w:t xml:space="preserve"> Пумпи</w:t>
            </w:r>
          </w:p>
        </w:tc>
        <w:tc>
          <w:tcPr>
            <w:tcW w:w="5309" w:type="dxa"/>
            <w:vAlign w:val="bottom"/>
          </w:tcPr>
          <w:p w14:paraId="1DFDC60F" w14:textId="49EF0ECC" w:rsidR="00E45985" w:rsidRPr="007B5383" w:rsidRDefault="00C77523" w:rsidP="00E45985">
            <w:pPr>
              <w:rPr>
                <w:rFonts w:cs="Calibri"/>
                <w:lang w:val="mk-MK"/>
              </w:rPr>
            </w:pPr>
            <w:hyperlink r:id="rId10" w:history="1">
              <w:r w:rsidRPr="007B5383">
                <w:rPr>
                  <w:rStyle w:val="Hyperlink"/>
                  <w:rFonts w:cs="Calibri"/>
                  <w:color w:val="auto"/>
                  <w:lang w:val="en-US"/>
                </w:rPr>
                <w:t>https://www.energynet.rs/resenja-za-dom/grejanje-i-hladenje/toplotne-pumpe/</w:t>
              </w:r>
            </w:hyperlink>
          </w:p>
          <w:p w14:paraId="2C728B4D" w14:textId="537D6FF7" w:rsidR="005A4BA1" w:rsidRPr="007B5383" w:rsidRDefault="005A4BA1" w:rsidP="00E45985">
            <w:pPr>
              <w:rPr>
                <w:rFonts w:cs="Calibri"/>
                <w:lang w:val="mk-MK"/>
              </w:rPr>
            </w:pPr>
            <w:r w:rsidRPr="007B5383">
              <w:rPr>
                <w:rFonts w:cs="Calibri"/>
                <w:lang w:val="mk-MK"/>
              </w:rPr>
              <w:t>https://ebrdgeff.com/macedonia/mk/heat-pumps-enjoy-a-comfortable-living-environment-while-spending-4-to-5-times</w:t>
            </w:r>
          </w:p>
          <w:p w14:paraId="580B8A46" w14:textId="21A35D84" w:rsidR="00C77523" w:rsidRPr="007B5383" w:rsidRDefault="00C77523" w:rsidP="00E45985">
            <w:pPr>
              <w:rPr>
                <w:lang w:val="mk-MK"/>
              </w:rPr>
            </w:pPr>
            <w:r w:rsidRPr="007B5383">
              <w:rPr>
                <w:lang w:val="mk-MK"/>
              </w:rPr>
              <w:t>www.erc.org.mk</w:t>
            </w:r>
          </w:p>
        </w:tc>
      </w:tr>
      <w:tr w:rsidR="007B5383" w:rsidRPr="007B5383" w14:paraId="2867671F" w14:textId="77777777" w:rsidTr="00E45985">
        <w:tc>
          <w:tcPr>
            <w:tcW w:w="4570" w:type="dxa"/>
            <w:vAlign w:val="center"/>
          </w:tcPr>
          <w:p w14:paraId="6BE566A2" w14:textId="21EBCF0E" w:rsidR="00E45985" w:rsidRPr="007B5383" w:rsidRDefault="00E45985" w:rsidP="00E45985">
            <w:pPr>
              <w:jc w:val="both"/>
              <w:rPr>
                <w:rFonts w:cs="Calibri"/>
                <w:lang w:val="en-US"/>
              </w:rPr>
            </w:pPr>
            <w:r w:rsidRPr="007B5383">
              <w:rPr>
                <w:rFonts w:cs="Calibri"/>
              </w:rPr>
              <w:t>Производи на ENERGY STAR</w:t>
            </w:r>
          </w:p>
        </w:tc>
        <w:tc>
          <w:tcPr>
            <w:tcW w:w="5309" w:type="dxa"/>
            <w:vAlign w:val="bottom"/>
          </w:tcPr>
          <w:p w14:paraId="5A9F32A9" w14:textId="6E7307CD" w:rsidR="00E45985" w:rsidRPr="007B5383" w:rsidRDefault="00E45985" w:rsidP="00E45985">
            <w:pPr>
              <w:rPr>
                <w:rFonts w:cs="Calibri"/>
                <w:lang w:val="en-US"/>
              </w:rPr>
            </w:pPr>
            <w:r w:rsidRPr="007B5383">
              <w:rPr>
                <w:rFonts w:cs="Calibri"/>
              </w:rPr>
              <w:t>http://www.energystar.gov/products</w:t>
            </w:r>
          </w:p>
        </w:tc>
      </w:tr>
      <w:tr w:rsidR="007B5383" w:rsidRPr="007B5383" w14:paraId="71510D06" w14:textId="77777777" w:rsidTr="00E45985">
        <w:tc>
          <w:tcPr>
            <w:tcW w:w="4570" w:type="dxa"/>
            <w:vAlign w:val="center"/>
          </w:tcPr>
          <w:p w14:paraId="248F2FB8" w14:textId="4D6D8E4C" w:rsidR="00E45985" w:rsidRPr="007B5383" w:rsidRDefault="00E45985" w:rsidP="00E45985">
            <w:pPr>
              <w:jc w:val="both"/>
              <w:rPr>
                <w:rFonts w:cs="Calibri"/>
              </w:rPr>
            </w:pPr>
            <w:r w:rsidRPr="007B5383">
              <w:rPr>
                <w:rFonts w:cs="Calibri"/>
              </w:rPr>
              <w:t>Алатки и ресурси на ENERGY STAR</w:t>
            </w:r>
          </w:p>
        </w:tc>
        <w:tc>
          <w:tcPr>
            <w:tcW w:w="5309" w:type="dxa"/>
            <w:vAlign w:val="bottom"/>
          </w:tcPr>
          <w:p w14:paraId="24266DDA" w14:textId="7EF8E1D5" w:rsidR="00E45985" w:rsidRPr="007B5383" w:rsidRDefault="00E45985" w:rsidP="00E45985">
            <w:pPr>
              <w:rPr>
                <w:rFonts w:cs="Calibri"/>
              </w:rPr>
            </w:pPr>
            <w:r w:rsidRPr="007B5383">
              <w:rPr>
                <w:rFonts w:cs="Calibri"/>
              </w:rPr>
              <w:t>https://www.energystar.gov/buildings/tools-and-resources</w:t>
            </w:r>
          </w:p>
        </w:tc>
      </w:tr>
      <w:tr w:rsidR="007B5383" w:rsidRPr="007B5383" w14:paraId="637AB8A7" w14:textId="77777777" w:rsidTr="00E45985">
        <w:tc>
          <w:tcPr>
            <w:tcW w:w="4570" w:type="dxa"/>
            <w:vAlign w:val="center"/>
          </w:tcPr>
          <w:p w14:paraId="5B461B84" w14:textId="0E61687F" w:rsidR="00E45985" w:rsidRPr="007B5383" w:rsidRDefault="00E45985" w:rsidP="00E45985">
            <w:pPr>
              <w:jc w:val="both"/>
              <w:rPr>
                <w:rFonts w:cs="Calibri"/>
              </w:rPr>
            </w:pPr>
            <w:r w:rsidRPr="007B5383">
              <w:rPr>
                <w:rFonts w:cs="Calibri"/>
              </w:rPr>
              <w:t>База на податоци на ЕУРОСТАТ</w:t>
            </w:r>
          </w:p>
        </w:tc>
        <w:tc>
          <w:tcPr>
            <w:tcW w:w="5309" w:type="dxa"/>
            <w:vAlign w:val="bottom"/>
          </w:tcPr>
          <w:p w14:paraId="2B9A8F5D" w14:textId="1540DA4C" w:rsidR="00E45985" w:rsidRPr="007B5383" w:rsidRDefault="00E45985" w:rsidP="00E45985">
            <w:pPr>
              <w:rPr>
                <w:rFonts w:cs="Calibri"/>
              </w:rPr>
            </w:pPr>
            <w:r w:rsidRPr="007B5383">
              <w:rPr>
                <w:rFonts w:cs="Calibri"/>
              </w:rPr>
              <w:t>https://ec.europa.eu/eurostat/</w:t>
            </w:r>
          </w:p>
        </w:tc>
      </w:tr>
      <w:tr w:rsidR="007B5383" w:rsidRPr="007B5383" w14:paraId="25850D8A" w14:textId="77777777" w:rsidTr="00E45985">
        <w:tc>
          <w:tcPr>
            <w:tcW w:w="4570" w:type="dxa"/>
            <w:vAlign w:val="center"/>
          </w:tcPr>
          <w:p w14:paraId="70163B3C" w14:textId="7C6531E8" w:rsidR="00E45985" w:rsidRPr="007B5383" w:rsidRDefault="00E45985" w:rsidP="00E45985">
            <w:pPr>
              <w:jc w:val="both"/>
              <w:rPr>
                <w:rFonts w:cs="Calibri"/>
              </w:rPr>
            </w:pPr>
            <w:r w:rsidRPr="007B5383">
              <w:rPr>
                <w:rFonts w:cs="Calibri"/>
              </w:rPr>
              <w:t>Фактори на создавање и методи за намалување на комуналниот отпад</w:t>
            </w:r>
          </w:p>
        </w:tc>
        <w:tc>
          <w:tcPr>
            <w:tcW w:w="5309" w:type="dxa"/>
            <w:vAlign w:val="bottom"/>
          </w:tcPr>
          <w:p w14:paraId="1FEB6B6E" w14:textId="51389C1F" w:rsidR="00E45985" w:rsidRPr="007B5383" w:rsidRDefault="00E45985" w:rsidP="00E45985">
            <w:pPr>
              <w:rPr>
                <w:rFonts w:cs="Calibri"/>
              </w:rPr>
            </w:pPr>
            <w:r w:rsidRPr="007B5383">
              <w:rPr>
                <w:rFonts w:cs="Calibri"/>
              </w:rPr>
              <w:t>https://energetskiportal.rs/faktori-nastanka-i-metode-smanjenja-komunalnoj-otpada/</w:t>
            </w:r>
          </w:p>
        </w:tc>
      </w:tr>
      <w:tr w:rsidR="007B5383" w:rsidRPr="007B5383" w14:paraId="2733B463" w14:textId="77777777" w:rsidTr="00E45985">
        <w:tc>
          <w:tcPr>
            <w:tcW w:w="4570" w:type="dxa"/>
            <w:vAlign w:val="center"/>
          </w:tcPr>
          <w:p w14:paraId="19BFD9B5" w14:textId="059C1276" w:rsidR="00E45985" w:rsidRPr="007B5383" w:rsidRDefault="00E45985" w:rsidP="00E45985">
            <w:pPr>
              <w:jc w:val="both"/>
              <w:rPr>
                <w:rFonts w:cs="Calibri"/>
              </w:rPr>
            </w:pPr>
            <w:r w:rsidRPr="007B5383">
              <w:rPr>
                <w:rFonts w:cs="Calibri"/>
              </w:rPr>
              <w:t>Бесплатни професионални шаблони за PowerPoint</w:t>
            </w:r>
          </w:p>
        </w:tc>
        <w:tc>
          <w:tcPr>
            <w:tcW w:w="5309" w:type="dxa"/>
            <w:vAlign w:val="bottom"/>
          </w:tcPr>
          <w:p w14:paraId="700FBF88" w14:textId="4F7CD9D6" w:rsidR="00E45985" w:rsidRPr="007B5383" w:rsidRDefault="00E45985" w:rsidP="00E45985">
            <w:pPr>
              <w:rPr>
                <w:rFonts w:cs="Calibri"/>
              </w:rPr>
            </w:pPr>
            <w:r w:rsidRPr="007B5383">
              <w:rPr>
                <w:rFonts w:cs="Calibri"/>
              </w:rPr>
              <w:t>https://www.slideegg.com/</w:t>
            </w:r>
          </w:p>
        </w:tc>
      </w:tr>
      <w:tr w:rsidR="007B5383" w:rsidRPr="007B5383" w14:paraId="52B8D495" w14:textId="77777777" w:rsidTr="00E45985">
        <w:tc>
          <w:tcPr>
            <w:tcW w:w="4570" w:type="dxa"/>
            <w:vAlign w:val="center"/>
          </w:tcPr>
          <w:p w14:paraId="3A29373C" w14:textId="17C036B1" w:rsidR="00E45985" w:rsidRPr="007B5383" w:rsidRDefault="00E45985" w:rsidP="00E45985">
            <w:pPr>
              <w:jc w:val="both"/>
              <w:rPr>
                <w:rFonts w:cs="Calibri"/>
              </w:rPr>
            </w:pPr>
            <w:proofErr w:type="spellStart"/>
            <w:r w:rsidRPr="007B5383">
              <w:rPr>
                <w:rFonts w:cs="Calibri"/>
                <w:lang w:val="en-US"/>
              </w:rPr>
              <w:t>Обновливи</w:t>
            </w:r>
            <w:proofErr w:type="spellEnd"/>
            <w:r w:rsidRPr="007B5383">
              <w:rPr>
                <w:rFonts w:cs="Calibri"/>
                <w:lang w:val="en-US"/>
              </w:rPr>
              <w:t xml:space="preserve"> </w:t>
            </w:r>
            <w:proofErr w:type="spellStart"/>
            <w:r w:rsidRPr="007B5383">
              <w:rPr>
                <w:rFonts w:cs="Calibri"/>
                <w:lang w:val="en-US"/>
              </w:rPr>
              <w:t>извори</w:t>
            </w:r>
            <w:proofErr w:type="spellEnd"/>
            <w:r w:rsidRPr="007B5383">
              <w:rPr>
                <w:rFonts w:cs="Calibri"/>
                <w:lang w:val="en-US"/>
              </w:rPr>
              <w:t xml:space="preserve"> </w:t>
            </w:r>
            <w:proofErr w:type="spellStart"/>
            <w:r w:rsidRPr="007B5383">
              <w:rPr>
                <w:rFonts w:cs="Calibri"/>
                <w:lang w:val="en-US"/>
              </w:rPr>
              <w:t>енергија</w:t>
            </w:r>
            <w:proofErr w:type="spellEnd"/>
          </w:p>
        </w:tc>
        <w:tc>
          <w:tcPr>
            <w:tcW w:w="5309" w:type="dxa"/>
            <w:vAlign w:val="bottom"/>
          </w:tcPr>
          <w:p w14:paraId="05D17041" w14:textId="3FEB6BC7" w:rsidR="00E45985" w:rsidRPr="007B5383" w:rsidRDefault="00184D7E" w:rsidP="00E45985">
            <w:pPr>
              <w:rPr>
                <w:rFonts w:cs="Calibri"/>
                <w:lang w:val="mk-MK"/>
              </w:rPr>
            </w:pPr>
            <w:hyperlink r:id="rId11" w:history="1">
              <w:r w:rsidRPr="007B5383">
                <w:rPr>
                  <w:rStyle w:val="Hyperlink"/>
                  <w:rFonts w:cs="Calibri"/>
                  <w:color w:val="auto"/>
                  <w:lang w:val="en-US"/>
                </w:rPr>
                <w:t>https://energetskiportal.rs/obnovljivi-izvori-energije/</w:t>
              </w:r>
            </w:hyperlink>
          </w:p>
          <w:p w14:paraId="5A38DE66" w14:textId="3A550C1B" w:rsidR="00184D7E" w:rsidRPr="007B5383" w:rsidRDefault="00184D7E" w:rsidP="00E45985">
            <w:pPr>
              <w:rPr>
                <w:rFonts w:cs="Calibri"/>
                <w:lang w:val="mk-MK"/>
              </w:rPr>
            </w:pPr>
            <w:r w:rsidRPr="007B5383">
              <w:rPr>
                <w:rFonts w:cs="Calibri"/>
                <w:lang w:val="mk-MK"/>
              </w:rPr>
              <w:t>https://www.esm.com.mk/</w:t>
            </w:r>
          </w:p>
        </w:tc>
      </w:tr>
      <w:tr w:rsidR="007B5383" w:rsidRPr="007B5383" w14:paraId="0624B346" w14:textId="77777777" w:rsidTr="00E45985">
        <w:tc>
          <w:tcPr>
            <w:tcW w:w="4570" w:type="dxa"/>
            <w:vAlign w:val="center"/>
          </w:tcPr>
          <w:p w14:paraId="74ECE269" w14:textId="48FE3CC7" w:rsidR="00E45985" w:rsidRPr="007B5383" w:rsidRDefault="00E45985" w:rsidP="00E45985">
            <w:pPr>
              <w:jc w:val="both"/>
              <w:rPr>
                <w:rFonts w:cs="Calibri"/>
                <w:lang w:val="en-US"/>
              </w:rPr>
            </w:pPr>
            <w:r w:rsidRPr="007B5383">
              <w:rPr>
                <w:rFonts w:cs="Calibri"/>
              </w:rPr>
              <w:t>Стратегии за намалување на транспортните трошоци во малите бизниси</w:t>
            </w:r>
          </w:p>
        </w:tc>
        <w:tc>
          <w:tcPr>
            <w:tcW w:w="5309" w:type="dxa"/>
            <w:vAlign w:val="bottom"/>
          </w:tcPr>
          <w:p w14:paraId="3EB6CEB4" w14:textId="5C6E688C" w:rsidR="00E45985" w:rsidRPr="007B5383" w:rsidRDefault="00E45985" w:rsidP="00E45985">
            <w:pPr>
              <w:rPr>
                <w:rFonts w:cs="Calibri"/>
                <w:lang w:val="en-US"/>
              </w:rPr>
            </w:pPr>
            <w:r w:rsidRPr="007B5383">
              <w:rPr>
                <w:rFonts w:cs="Calibri"/>
              </w:rPr>
              <w:t>https://www.blog.enpeks.rs/strategije-za-smaženje-troskova-transporta-u-malim-preduzecima/</w:t>
            </w:r>
          </w:p>
        </w:tc>
      </w:tr>
      <w:tr w:rsidR="007B5383" w:rsidRPr="007B5383" w14:paraId="05DFC7F2" w14:textId="77777777" w:rsidTr="00E45985">
        <w:tc>
          <w:tcPr>
            <w:tcW w:w="4570" w:type="dxa"/>
            <w:vAlign w:val="center"/>
          </w:tcPr>
          <w:p w14:paraId="6034FA16" w14:textId="75064396" w:rsidR="00E45985" w:rsidRPr="007B5383" w:rsidRDefault="00E45985" w:rsidP="00E45985">
            <w:pPr>
              <w:jc w:val="both"/>
              <w:rPr>
                <w:rFonts w:cs="Calibri"/>
              </w:rPr>
            </w:pPr>
            <w:r w:rsidRPr="007B5383">
              <w:rPr>
                <w:rFonts w:cs="Calibri"/>
              </w:rPr>
              <w:t>Биоразградлив стиропор</w:t>
            </w:r>
          </w:p>
        </w:tc>
        <w:tc>
          <w:tcPr>
            <w:tcW w:w="5309" w:type="dxa"/>
            <w:vAlign w:val="bottom"/>
          </w:tcPr>
          <w:p w14:paraId="6B6B13B4" w14:textId="0C5BC5EF" w:rsidR="00E45985" w:rsidRPr="007B5383" w:rsidRDefault="00E45985" w:rsidP="00E45985">
            <w:pPr>
              <w:rPr>
                <w:rFonts w:cs="Calibri"/>
              </w:rPr>
            </w:pPr>
            <w:r w:rsidRPr="007B5383">
              <w:rPr>
                <w:rFonts w:cs="Calibri"/>
              </w:rPr>
              <w:t>https://www.ecofeminizam.com/2021/02/05/inovativni-proizvod-biorazgradivi-stiropor/</w:t>
            </w:r>
          </w:p>
        </w:tc>
      </w:tr>
      <w:tr w:rsidR="007B5383" w:rsidRPr="007B5383" w14:paraId="24EC46E6" w14:textId="77777777" w:rsidTr="00E45985">
        <w:tc>
          <w:tcPr>
            <w:tcW w:w="4570" w:type="dxa"/>
            <w:vAlign w:val="center"/>
          </w:tcPr>
          <w:p w14:paraId="134245D5" w14:textId="1768B2CF" w:rsidR="00E45985" w:rsidRPr="007B5383" w:rsidRDefault="00E45985" w:rsidP="00E45985">
            <w:pPr>
              <w:jc w:val="both"/>
              <w:rPr>
                <w:rFonts w:cs="Calibri"/>
              </w:rPr>
            </w:pPr>
            <w:r w:rsidRPr="007B5383">
              <w:rPr>
                <w:rFonts w:cs="Calibri"/>
              </w:rPr>
              <w:t>Целосен водич за еколошки превоз</w:t>
            </w:r>
          </w:p>
        </w:tc>
        <w:tc>
          <w:tcPr>
            <w:tcW w:w="5309" w:type="dxa"/>
            <w:vAlign w:val="bottom"/>
          </w:tcPr>
          <w:p w14:paraId="707DCB47" w14:textId="26A06D18" w:rsidR="00E45985" w:rsidRPr="007B5383" w:rsidRDefault="00E45985" w:rsidP="00E45985">
            <w:pPr>
              <w:rPr>
                <w:rFonts w:cs="Calibri"/>
              </w:rPr>
            </w:pPr>
            <w:r w:rsidRPr="007B5383">
              <w:rPr>
                <w:rFonts w:cs="Calibri"/>
              </w:rPr>
              <w:t>https://zeorouteplanner.com/bs/zeleni-transport/</w:t>
            </w:r>
          </w:p>
        </w:tc>
      </w:tr>
      <w:tr w:rsidR="007B5383" w:rsidRPr="007B5383" w14:paraId="366D8F08" w14:textId="77777777" w:rsidTr="00E45985">
        <w:tc>
          <w:tcPr>
            <w:tcW w:w="4570" w:type="dxa"/>
            <w:vAlign w:val="center"/>
          </w:tcPr>
          <w:p w14:paraId="1F6CDD2A" w14:textId="4840D94B" w:rsidR="00E45985" w:rsidRPr="007B5383" w:rsidRDefault="00E45985" w:rsidP="00E45985">
            <w:pPr>
              <w:jc w:val="both"/>
              <w:rPr>
                <w:rFonts w:cs="Calibri"/>
              </w:rPr>
            </w:pPr>
            <w:r w:rsidRPr="007B5383">
              <w:rPr>
                <w:rFonts w:cs="Calibri"/>
              </w:rPr>
              <w:t xml:space="preserve">Завод за статистика на Република </w:t>
            </w:r>
            <w:r w:rsidR="00CA5999" w:rsidRPr="007B5383">
              <w:rPr>
                <w:rFonts w:cs="Calibri"/>
              </w:rPr>
              <w:t>Северна Македонија</w:t>
            </w:r>
          </w:p>
        </w:tc>
        <w:tc>
          <w:tcPr>
            <w:tcW w:w="5309" w:type="dxa"/>
            <w:vAlign w:val="bottom"/>
          </w:tcPr>
          <w:p w14:paraId="2E6D694E" w14:textId="7335FAAE" w:rsidR="00E45985" w:rsidRPr="007B5383" w:rsidRDefault="007B5383" w:rsidP="00E45985">
            <w:pPr>
              <w:rPr>
                <w:rFonts w:cs="Calibri"/>
              </w:rPr>
            </w:pPr>
            <w:r w:rsidRPr="007B5383">
              <w:rPr>
                <w:rFonts w:cs="Calibri"/>
              </w:rPr>
              <w:t>https://www.stat.gov.mk/</w:t>
            </w:r>
          </w:p>
        </w:tc>
      </w:tr>
    </w:tbl>
    <w:p w14:paraId="21D69147" w14:textId="77777777" w:rsidR="00E45985" w:rsidRDefault="00E45985" w:rsidP="008B5616"/>
    <w:p w14:paraId="079B1F61" w14:textId="77777777" w:rsidR="003762B6" w:rsidRPr="003B3302" w:rsidRDefault="003762B6" w:rsidP="008B5616"/>
    <w:p w14:paraId="60AA4C31" w14:textId="235A80A5" w:rsidR="008B5616" w:rsidRPr="00260370" w:rsidRDefault="00260370" w:rsidP="008B5616">
      <w:pPr>
        <w:pStyle w:val="Heading1"/>
        <w:spacing w:before="0" w:after="0"/>
        <w:rPr>
          <w:rFonts w:asciiTheme="minorHAnsi" w:hAnsiTheme="minorHAnsi" w:cstheme="minorHAnsi"/>
          <w:b/>
          <w:bCs/>
          <w:color w:val="auto"/>
          <w:sz w:val="24"/>
          <w:szCs w:val="24"/>
        </w:rPr>
      </w:pPr>
      <w:bookmarkStart w:id="16" w:name="_Toc195047172"/>
      <w:r w:rsidRPr="00260370">
        <w:rPr>
          <w:rFonts w:asciiTheme="minorHAnsi" w:hAnsiTheme="minorHAnsi" w:cstheme="minorHAnsi"/>
          <w:b/>
          <w:bCs/>
          <w:color w:val="auto"/>
          <w:sz w:val="24"/>
          <w:szCs w:val="24"/>
        </w:rPr>
        <w:t>6. Прилози</w:t>
      </w:r>
      <w:bookmarkEnd w:id="16"/>
    </w:p>
    <w:p w14:paraId="79AF99C0" w14:textId="77777777" w:rsidR="008B5616" w:rsidRPr="003B3302" w:rsidRDefault="008B5616" w:rsidP="008B5616"/>
    <w:p w14:paraId="4E4DE1B9" w14:textId="77777777" w:rsidR="005D4123" w:rsidRPr="00B579F1" w:rsidRDefault="005D4123" w:rsidP="006F2D23">
      <w:pPr>
        <w:rPr>
          <w:b/>
        </w:rPr>
      </w:pPr>
      <w:bookmarkStart w:id="17" w:name="_Hlk191536376"/>
    </w:p>
    <w:p w14:paraId="5C43DA15" w14:textId="57F781CF" w:rsidR="005D4123" w:rsidRPr="00B579F1" w:rsidRDefault="005D4123" w:rsidP="006F2D23">
      <w:pPr>
        <w:rPr>
          <w:b/>
        </w:rPr>
      </w:pPr>
      <w:r w:rsidRPr="00B579F1">
        <w:rPr>
          <w:b/>
        </w:rPr>
        <w:t>Алатки за финансирање на зелен бизнис:</w:t>
      </w:r>
    </w:p>
    <w:p w14:paraId="616021A3" w14:textId="77777777" w:rsidR="00B41086" w:rsidRPr="00B579F1" w:rsidRDefault="00B41086" w:rsidP="006F2D23"/>
    <w:p w14:paraId="79188B1F" w14:textId="2A4758AF" w:rsidR="005D4123" w:rsidRPr="00B579F1" w:rsidRDefault="00B47323" w:rsidP="004A1DB8">
      <w:pPr>
        <w:pStyle w:val="ListParagraph"/>
        <w:numPr>
          <w:ilvl w:val="0"/>
          <w:numId w:val="2"/>
        </w:numPr>
      </w:pPr>
      <w:r w:rsidRPr="00B579F1">
        <w:t>Список на ESG критериуми за МСП за внатрешна проценка на подготвеноста за зелено финансирање</w:t>
      </w:r>
    </w:p>
    <w:p w14:paraId="0E21F922" w14:textId="5E9C191C" w:rsidR="00B579F1" w:rsidRPr="00B579F1" w:rsidRDefault="00B579F1" w:rsidP="004A1DB8">
      <w:pPr>
        <w:pStyle w:val="ListParagraph"/>
        <w:numPr>
          <w:ilvl w:val="0"/>
          <w:numId w:val="2"/>
        </w:numPr>
      </w:pPr>
      <w:r w:rsidRPr="00B579F1">
        <w:t>Преглед на извори на финансирање за мали и средни претпријатија и претприемачи</w:t>
      </w:r>
    </w:p>
    <w:p w14:paraId="257C207D" w14:textId="0B0C6503" w:rsidR="00B579F1" w:rsidRPr="00B579F1" w:rsidRDefault="00B579F1" w:rsidP="004A1DB8">
      <w:pPr>
        <w:pStyle w:val="ListParagraph"/>
        <w:numPr>
          <w:ilvl w:val="0"/>
          <w:numId w:val="2"/>
        </w:numPr>
      </w:pPr>
      <w:r w:rsidRPr="00B579F1">
        <w:t>Примери на добра практика во финансирањето со зелени финансиски инструменти</w:t>
      </w:r>
    </w:p>
    <w:bookmarkEnd w:id="17"/>
    <w:p w14:paraId="6049088A" w14:textId="59F9D6F7" w:rsidR="006F2D23" w:rsidRPr="00E45985" w:rsidRDefault="006F2D23" w:rsidP="00B47323">
      <w:pPr>
        <w:pStyle w:val="ListParagraph"/>
        <w:ind w:left="360"/>
      </w:pPr>
    </w:p>
    <w:sectPr w:rsidR="006F2D23" w:rsidRPr="00E45985" w:rsidSect="00727819">
      <w:footerReference w:type="default" r:id="rId12"/>
      <w:headerReference w:type="first" r:id="rId13"/>
      <w:footerReference w:type="first" r:id="rId14"/>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A8DD" w14:textId="77777777" w:rsidR="00D07B1B" w:rsidRDefault="00D07B1B" w:rsidP="008B7759">
      <w:r>
        <w:separator/>
      </w:r>
    </w:p>
  </w:endnote>
  <w:endnote w:type="continuationSeparator" w:id="0">
    <w:p w14:paraId="722103F2" w14:textId="77777777" w:rsidR="00D07B1B" w:rsidRDefault="00D07B1B"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F02E1C" w:rsidRDefault="00F02E1C">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00F51A3B" w14:textId="77777777" w:rsidR="00F02E1C" w:rsidRDefault="00F02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1888"/>
      <w:gridCol w:w="3875"/>
    </w:tblGrid>
    <w:tr w:rsidR="00F02E1C" w14:paraId="2EA344C5" w14:textId="77777777" w:rsidTr="006E4EFE">
      <w:trPr>
        <w:trHeight w:val="997"/>
      </w:trPr>
      <w:tc>
        <w:tcPr>
          <w:tcW w:w="3936" w:type="dxa"/>
          <w:vAlign w:val="center"/>
        </w:tcPr>
        <w:p w14:paraId="111236FC" w14:textId="5F0C3127" w:rsidR="00F02E1C" w:rsidRDefault="00F02E1C" w:rsidP="006E4EFE">
          <w:pPr>
            <w:pStyle w:val="Footer"/>
            <w:jc w:val="center"/>
          </w:pPr>
          <w:bookmarkStart w:id="19" w:name="_Hlk193965313"/>
          <w:r>
            <w:rPr>
              <w:noProof/>
              <w:color w:val="000080"/>
              <w:sz w:val="14"/>
              <w:lang w:val="en-GB" w:eastAsia="en-GB"/>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02D409F0" w14:textId="5693BA14" w:rsidR="00F02E1C" w:rsidRDefault="00F02E1C" w:rsidP="00531721">
          <w:pPr>
            <w:pStyle w:val="Footer"/>
          </w:pPr>
          <w:r>
            <w:rPr>
              <w:noProof/>
              <w:lang w:val="en-GB" w:eastAsia="en-GB"/>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1B8DEBFF" w14:textId="0786E4CE" w:rsidR="00F02E1C" w:rsidRDefault="002E6477" w:rsidP="00531721">
          <w:pPr>
            <w:pStyle w:val="Footer"/>
            <w:jc w:val="right"/>
          </w:pPr>
          <w:r>
            <w:rPr>
              <w:noProof/>
              <w:lang w:eastAsia="mk-MK"/>
            </w:rPr>
            <w:drawing>
              <wp:anchor distT="0" distB="0" distL="114300" distR="114300" simplePos="0" relativeHeight="251659264" behindDoc="1" locked="0" layoutInCell="1" allowOverlap="1" wp14:anchorId="5D04778B" wp14:editId="3498B1CA">
                <wp:simplePos x="0" y="0"/>
                <wp:positionH relativeFrom="margin">
                  <wp:posOffset>262255</wp:posOffset>
                </wp:positionH>
                <wp:positionV relativeFrom="paragraph">
                  <wp:posOffset>102870</wp:posOffset>
                </wp:positionV>
                <wp:extent cx="2095500" cy="4152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founded_m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5500" cy="415290"/>
                        </a:xfrm>
                        <a:prstGeom prst="rect">
                          <a:avLst/>
                        </a:prstGeom>
                      </pic:spPr>
                    </pic:pic>
                  </a:graphicData>
                </a:graphic>
                <wp14:sizeRelH relativeFrom="margin">
                  <wp14:pctWidth>0</wp14:pctWidth>
                </wp14:sizeRelH>
                <wp14:sizeRelV relativeFrom="margin">
                  <wp14:pctHeight>0</wp14:pctHeight>
                </wp14:sizeRelV>
              </wp:anchor>
            </w:drawing>
          </w:r>
        </w:p>
      </w:tc>
    </w:tr>
    <w:bookmarkEnd w:id="19"/>
  </w:tbl>
  <w:p w14:paraId="4BE443E5" w14:textId="77777777" w:rsidR="00F02E1C" w:rsidRPr="000518AB" w:rsidRDefault="00F02E1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83F5" w14:textId="77777777" w:rsidR="00D07B1B" w:rsidRDefault="00D07B1B" w:rsidP="008B7759">
      <w:r>
        <w:separator/>
      </w:r>
    </w:p>
  </w:footnote>
  <w:footnote w:type="continuationSeparator" w:id="0">
    <w:p w14:paraId="4D146BB2" w14:textId="77777777" w:rsidR="00D07B1B" w:rsidRDefault="00D07B1B" w:rsidP="008B7759">
      <w:r>
        <w:continuationSeparator/>
      </w:r>
    </w:p>
  </w:footnote>
  <w:footnote w:id="1">
    <w:p w14:paraId="41F79664" w14:textId="2E414D61" w:rsidR="00F02E1C" w:rsidRPr="00365A8B" w:rsidRDefault="00F02E1C" w:rsidP="00AC37BF">
      <w:pPr>
        <w:pStyle w:val="FootnoteText"/>
        <w:rPr>
          <w:lang w:val="mk-MK"/>
        </w:rPr>
      </w:pPr>
      <w:r>
        <w:rPr>
          <w:rStyle w:val="FootnoteReference"/>
        </w:rPr>
        <w:footnoteRef/>
      </w:r>
      <w:r>
        <w:rPr>
          <w:lang w:val="sr-Latn-RS"/>
        </w:rPr>
        <w:t xml:space="preserve"> </w:t>
      </w:r>
      <w:r>
        <w:t xml:space="preserve">Интернет извори: </w:t>
      </w:r>
      <w:r w:rsidR="00365A8B" w:rsidRPr="00365A8B">
        <w:t>https://northmacedonia.un.org/mk/</w:t>
      </w:r>
      <w:r w:rsidR="00365A8B">
        <w:rPr>
          <w:lang w:val="mk-MK"/>
        </w:rPr>
        <w:t>172117-инструмент-за зелен</w:t>
      </w:r>
      <w:r w:rsidR="00771277">
        <w:rPr>
          <w:lang w:val="mk-MK"/>
        </w:rPr>
        <w:t>о -финансирање-од-северна-македонија</w:t>
      </w:r>
    </w:p>
    <w:p w14:paraId="501AD782" w14:textId="03AB421C" w:rsidR="003E6723" w:rsidRDefault="003E4CD1" w:rsidP="00AC37BF">
      <w:pPr>
        <w:pStyle w:val="FootnoteText"/>
        <w:rPr>
          <w:lang w:val="mk-MK"/>
        </w:rPr>
      </w:pPr>
      <w:hyperlink r:id="rId1" w:history="1">
        <w:r w:rsidRPr="00A350FA">
          <w:rPr>
            <w:rStyle w:val="Hyperlink"/>
          </w:rPr>
          <w:t>https://kb.mk/ns-newsarticle-komercijalna-banka-se-vkluci-vo-programata-za-zeleni-finansiski-sistemi-na-eib.nspx</w:t>
        </w:r>
      </w:hyperlink>
    </w:p>
    <w:p w14:paraId="03018343" w14:textId="0AF335A1" w:rsidR="003E4CD1" w:rsidRPr="003E4CD1" w:rsidRDefault="003E4CD1" w:rsidP="00AC37BF">
      <w:pPr>
        <w:pStyle w:val="FootnoteText"/>
        <w:rPr>
          <w:lang w:val="mk-MK"/>
        </w:rPr>
      </w:pPr>
      <w:r w:rsidRPr="003E4CD1">
        <w:rPr>
          <w:lang w:val="mk-MK"/>
        </w:rPr>
        <w:t>https://ebrdgeff.com/macedonia/mk/grant-support/</w:t>
      </w:r>
    </w:p>
    <w:p w14:paraId="350AA504" w14:textId="4E22EADC" w:rsidR="00F02E1C" w:rsidRDefault="003466BA" w:rsidP="00AC37BF">
      <w:pPr>
        <w:pStyle w:val="FootnoteText"/>
        <w:rPr>
          <w:lang w:val="mk-MK"/>
        </w:rPr>
      </w:pPr>
      <w:hyperlink r:id="rId2" w:history="1">
        <w:r w:rsidRPr="00A350FA">
          <w:rPr>
            <w:rStyle w:val="Hyperlink"/>
            <w:lang w:val="sr-Latn-RS"/>
          </w:rPr>
          <w:t>https://www.undp.org/north-macedonia/projects/green-finance-facility-improve-air-quality-and-combat-climate-change-north-macedonia</w:t>
        </w:r>
      </w:hyperlink>
    </w:p>
    <w:p w14:paraId="0EF827DF" w14:textId="7BFD61C4" w:rsidR="003466BA" w:rsidRDefault="003466BA" w:rsidP="00AC37BF">
      <w:pPr>
        <w:pStyle w:val="FootnoteText"/>
        <w:rPr>
          <w:lang w:val="mk-MK"/>
        </w:rPr>
      </w:pPr>
      <w:hyperlink r:id="rId3" w:history="1">
        <w:r w:rsidRPr="00A350FA">
          <w:rPr>
            <w:rStyle w:val="Hyperlink"/>
            <w:lang w:val="mk-MK"/>
          </w:rPr>
          <w:t>https://north-macedonia.iom.int/news/accelerating-green-finance-north-macedonia-introducing-green-financing-facility</w:t>
        </w:r>
      </w:hyperlink>
    </w:p>
    <w:p w14:paraId="0626DA41" w14:textId="4E7147D9" w:rsidR="003466BA" w:rsidRDefault="0012059A" w:rsidP="00AC37BF">
      <w:pPr>
        <w:pStyle w:val="FootnoteText"/>
        <w:rPr>
          <w:lang w:val="en-US"/>
        </w:rPr>
      </w:pPr>
      <w:hyperlink r:id="rId4" w:history="1">
        <w:r w:rsidRPr="00A350FA">
          <w:rPr>
            <w:rStyle w:val="Hyperlink"/>
            <w:lang w:val="en-US"/>
          </w:rPr>
          <w:t>https://www.cif.org/country/north-macedonia</w:t>
        </w:r>
      </w:hyperlink>
    </w:p>
    <w:p w14:paraId="17C14E0A" w14:textId="195DE051" w:rsidR="00AD135B" w:rsidRDefault="00AD135B" w:rsidP="00AC37BF">
      <w:pPr>
        <w:pStyle w:val="FootnoteText"/>
        <w:rPr>
          <w:lang w:val="en-US"/>
        </w:rPr>
      </w:pPr>
      <w:hyperlink r:id="rId5" w:history="1">
        <w:r w:rsidRPr="00A350FA">
          <w:rPr>
            <w:rStyle w:val="Hyperlink"/>
            <w:lang w:val="en-US"/>
          </w:rPr>
          <w:t>http://www.greendevelopment.mk/en/newsReadMore.aspx?id=1</w:t>
        </w:r>
      </w:hyperlink>
    </w:p>
    <w:p w14:paraId="4C7D3E91" w14:textId="46D6FBE2" w:rsidR="0012059A" w:rsidRPr="002F24A5" w:rsidRDefault="002F24A5" w:rsidP="00AC37BF">
      <w:pPr>
        <w:pStyle w:val="FootnoteText"/>
        <w:rPr>
          <w:lang w:val="mk-MK"/>
        </w:rPr>
      </w:pPr>
      <w:hyperlink r:id="rId6" w:history="1">
        <w:r w:rsidRPr="004F5CDA">
          <w:rPr>
            <w:rStyle w:val="Hyperlink"/>
            <w:rFonts w:cs="Calibri"/>
            <w:bCs/>
            <w:lang w:val="en-US" w:eastAsia="en-GB"/>
          </w:rPr>
          <w:t>https://fitr.mk</w:t>
        </w:r>
      </w:hyperlink>
      <w:r>
        <w:rPr>
          <w:rFonts w:cs="Calibri"/>
          <w:bCs/>
          <w:lang w:val="mk-MK" w:eastAsia="en-GB"/>
        </w:rPr>
        <w:t xml:space="preserve"> </w:t>
      </w:r>
    </w:p>
  </w:footnote>
  <w:footnote w:id="2">
    <w:p w14:paraId="58D11E8E" w14:textId="50FA73B2" w:rsidR="00F02E1C" w:rsidRDefault="00F02E1C" w:rsidP="00AC37BF">
      <w:pPr>
        <w:pStyle w:val="FootnoteText"/>
      </w:pPr>
      <w:r>
        <w:rPr>
          <w:rStyle w:val="FootnoteReference"/>
        </w:rPr>
        <w:footnoteRef/>
      </w:r>
      <w:r>
        <w:t xml:space="preserve">Интернет извори: </w:t>
      </w:r>
      <w:r w:rsidR="00A1309D" w:rsidRPr="00A1309D">
        <w:t>https://www.undp.org/north-macedonia/projects/green-finance-facility-improve-air-quality-and-combat-climate-change-north-macedonia</w:t>
      </w:r>
    </w:p>
    <w:p w14:paraId="7696F7AA" w14:textId="20EE5F91" w:rsidR="00394A4A" w:rsidRDefault="00394A4A" w:rsidP="00AC37BF">
      <w:pPr>
        <w:pStyle w:val="FootnoteText"/>
        <w:rPr>
          <w:lang w:val="mk-MK"/>
        </w:rPr>
      </w:pPr>
      <w:hyperlink r:id="rId7" w:history="1">
        <w:r w:rsidRPr="00A350FA">
          <w:rPr>
            <w:rStyle w:val="Hyperlink"/>
          </w:rPr>
          <w:t>https://ebrdgeff.com/macedonia/mk/</w:t>
        </w:r>
      </w:hyperlink>
    </w:p>
    <w:p w14:paraId="5E3FE3CD" w14:textId="57D22345" w:rsidR="0029046C" w:rsidRDefault="0029046C" w:rsidP="00AC37BF">
      <w:pPr>
        <w:pStyle w:val="FootnoteText"/>
        <w:rPr>
          <w:lang w:val="mk-MK"/>
        </w:rPr>
      </w:pPr>
      <w:hyperlink r:id="rId8" w:history="1">
        <w:r w:rsidRPr="00A350FA">
          <w:rPr>
            <w:rStyle w:val="Hyperlink"/>
          </w:rPr>
          <w:t>https://mbdp.com.mk/mk/Products/KreditiranjePrekuBankiProizvod/18</w:t>
        </w:r>
      </w:hyperlink>
    </w:p>
    <w:p w14:paraId="28787603" w14:textId="734E33CE" w:rsidR="00E557E6" w:rsidRDefault="00E557E6" w:rsidP="00AC37BF">
      <w:pPr>
        <w:pStyle w:val="FootnoteText"/>
        <w:rPr>
          <w:lang w:val="mk-MK"/>
        </w:rPr>
      </w:pPr>
      <w:hyperlink r:id="rId9" w:history="1">
        <w:r w:rsidRPr="00A350FA">
          <w:rPr>
            <w:rStyle w:val="Hyperlink"/>
          </w:rPr>
          <w:t>https://ebrdgeff.com/ebrd-eu-and-donors-support-smes-and-green-homes-in-north-macedonia/</w:t>
        </w:r>
      </w:hyperlink>
    </w:p>
    <w:p w14:paraId="37CAE4C9" w14:textId="280AB3FA" w:rsidR="00F02E1C" w:rsidRPr="00AC37BF" w:rsidRDefault="00F02E1C" w:rsidP="00AC37BF">
      <w:pPr>
        <w:pStyle w:val="FootnoteText"/>
        <w:rPr>
          <w:lang w:val="sr-Latn-RS"/>
        </w:rPr>
      </w:pPr>
    </w:p>
  </w:footnote>
  <w:footnote w:id="3">
    <w:p w14:paraId="04D698B4" w14:textId="77777777" w:rsidR="00B03A1B" w:rsidRDefault="00B03A1B" w:rsidP="00B03A1B">
      <w:pPr>
        <w:pStyle w:val="FootnoteText"/>
      </w:pPr>
      <w:r>
        <w:rPr>
          <w:rStyle w:val="FootnoteReference"/>
        </w:rPr>
        <w:footnoteRef/>
      </w:r>
      <w:r>
        <w:t>Извор: Европска банка за обнова и развој (ЕБОР)</w:t>
      </w:r>
    </w:p>
    <w:p w14:paraId="37ACF2CE" w14:textId="77777777" w:rsidR="00B03A1B" w:rsidRDefault="00B03A1B" w:rsidP="00B03A1B">
      <w:pPr>
        <w:pStyle w:val="FootnoteText"/>
      </w:pPr>
      <w:hyperlink r:id="rId10" w:history="1">
        <w:r w:rsidRPr="0047035F">
          <w:rPr>
            <w:rStyle w:val="Hyperlink"/>
          </w:rPr>
          <w:t>https://www.ebrd.com/home/news-and-events/news/2023/new-green-finance-for-smes-and-underserved-individuals-in-north-macedonia.html</w:t>
        </w:r>
      </w:hyperlink>
      <w:r>
        <w:t xml:space="preserve"> </w:t>
      </w:r>
    </w:p>
    <w:p w14:paraId="00EB9DC4" w14:textId="77777777" w:rsidR="00B03A1B" w:rsidRDefault="00B03A1B" w:rsidP="00B03A1B">
      <w:pPr>
        <w:pStyle w:val="FootnoteText"/>
      </w:pPr>
      <w:r>
        <w:t xml:space="preserve">Финансиски фонд за зелена економија (GEFF). </w:t>
      </w:r>
      <w:hyperlink r:id="rId11" w:history="1">
        <w:r w:rsidRPr="0047035F">
          <w:rPr>
            <w:rStyle w:val="Hyperlink"/>
          </w:rPr>
          <w:t>https://ebrdgeff.com/ebrd-eu-and-donors-support-smes-and-green-homes-in-north-macedonia/</w:t>
        </w:r>
      </w:hyperlink>
      <w:r>
        <w:t xml:space="preserve"> </w:t>
      </w:r>
    </w:p>
    <w:p w14:paraId="6A102305" w14:textId="77777777" w:rsidR="00B03A1B" w:rsidRDefault="00B03A1B" w:rsidP="00B03A1B">
      <w:pPr>
        <w:pStyle w:val="FootnoteText"/>
      </w:pPr>
      <w:r>
        <w:t>Европска инвестициска банка (ЕИБ)</w:t>
      </w:r>
    </w:p>
    <w:p w14:paraId="081C6737" w14:textId="77777777" w:rsidR="00B03A1B" w:rsidRDefault="00B03A1B" w:rsidP="00B03A1B">
      <w:pPr>
        <w:pStyle w:val="FootnoteText"/>
      </w:pPr>
      <w:hyperlink r:id="rId12" w:history="1">
        <w:r w:rsidRPr="0047035F">
          <w:rPr>
            <w:rStyle w:val="Hyperlink"/>
          </w:rPr>
          <w:t>https://www.eib.org/en/press/all/2023-326-eib-global-provides-a-eur1-million-technical-assistance-grant-to-boost-the-rollout-of-green-financing-for-smes-in-north-macedonia</w:t>
        </w:r>
      </w:hyperlink>
      <w:r>
        <w:t xml:space="preserve"> </w:t>
      </w:r>
    </w:p>
    <w:p w14:paraId="44B0533D" w14:textId="77777777" w:rsidR="00B03A1B" w:rsidRDefault="00B03A1B" w:rsidP="00B03A1B">
      <w:pPr>
        <w:pStyle w:val="FootnoteText"/>
      </w:pPr>
      <w:r>
        <w:t>Програмата „SMEs Go Digital“ ги поддржува малите бизниси во Северна Македонија</w:t>
      </w:r>
    </w:p>
    <w:p w14:paraId="3B763615" w14:textId="77777777" w:rsidR="00B03A1B" w:rsidRDefault="00B03A1B" w:rsidP="00B03A1B">
      <w:pPr>
        <w:pStyle w:val="FootnoteText"/>
      </w:pPr>
      <w:hyperlink r:id="rId13" w:history="1">
        <w:r w:rsidRPr="0047035F">
          <w:rPr>
            <w:rStyle w:val="Hyperlink"/>
          </w:rPr>
          <w:t>https://www.wbif.eu/news-details/smes-go-digital-supports-small-businesses-north-macedonia</w:t>
        </w:r>
      </w:hyperlink>
      <w:r>
        <w:t xml:space="preserve"> </w:t>
      </w:r>
    </w:p>
    <w:p w14:paraId="4105A530" w14:textId="77777777" w:rsidR="00B03A1B" w:rsidRDefault="00B03A1B" w:rsidP="00B03A1B">
      <w:pPr>
        <w:pStyle w:val="FootnoteText"/>
      </w:pPr>
      <w:r>
        <w:t>Француска агенција за развој (AFD)</w:t>
      </w:r>
    </w:p>
    <w:p w14:paraId="109EE8F3" w14:textId="77777777" w:rsidR="00B03A1B" w:rsidRPr="001B7F6B" w:rsidRDefault="00B03A1B" w:rsidP="00B03A1B">
      <w:pPr>
        <w:pStyle w:val="FootnoteText"/>
      </w:pPr>
      <w:hyperlink r:id="rId14" w:history="1">
        <w:r w:rsidRPr="0047035F">
          <w:rPr>
            <w:rStyle w:val="Hyperlink"/>
          </w:rPr>
          <w:t>https://www.afd.fr/en/carte-des-projets/supporting-green-and-social-financing-north-macedonia</w:t>
        </w:r>
      </w:hyperlink>
      <w:r>
        <w:t xml:space="preserve"> </w:t>
      </w:r>
    </w:p>
    <w:p w14:paraId="3B5B62D5" w14:textId="77777777" w:rsidR="00B03A1B" w:rsidRPr="001B7F6B" w:rsidRDefault="00B03A1B" w:rsidP="00B03A1B">
      <w:pPr>
        <w:pStyle w:val="FootnoteText"/>
      </w:pPr>
    </w:p>
  </w:footnote>
  <w:footnote w:id="4">
    <w:p w14:paraId="78B1ED52" w14:textId="5A2FF652" w:rsidR="00F02E1C" w:rsidRDefault="00F02E1C" w:rsidP="007E179E">
      <w:pPr>
        <w:pStyle w:val="FootnoteText"/>
      </w:pPr>
      <w:r>
        <w:rPr>
          <w:rStyle w:val="FootnoteReference"/>
        </w:rPr>
        <w:footnoteRef/>
      </w:r>
      <w:r>
        <w:t xml:space="preserve">Европска комисија - Одржливи финансии и обелоденувања на ESG </w:t>
      </w:r>
      <w:hyperlink r:id="rId15" w:history="1">
        <w:r w:rsidRPr="00A14EA2">
          <w:rPr>
            <w:rStyle w:val="Hyperlink"/>
          </w:rPr>
          <w:t>https://finance.ec.europa.eu</w:t>
        </w:r>
      </w:hyperlink>
      <w:r>
        <w:t xml:space="preserve">  </w:t>
      </w:r>
    </w:p>
    <w:p w14:paraId="5CEA49AA" w14:textId="68106DE9" w:rsidR="00F02E1C" w:rsidRDefault="00F02E1C" w:rsidP="007E179E">
      <w:pPr>
        <w:pStyle w:val="FootnoteText"/>
      </w:pPr>
      <w:r>
        <w:t xml:space="preserve">ОЕЦД - Управување со еколошки и социјален ризик за мали и средни претпријатија </w:t>
      </w:r>
      <w:hyperlink r:id="rId16" w:history="1">
        <w:r w:rsidRPr="00A14EA2">
          <w:rPr>
            <w:rStyle w:val="Hyperlink"/>
          </w:rPr>
          <w:t>https://www.oecd.org/sme/</w:t>
        </w:r>
      </w:hyperlink>
      <w:r>
        <w:t xml:space="preserve">  </w:t>
      </w:r>
    </w:p>
    <w:p w14:paraId="2318F61F" w14:textId="1476A2B3" w:rsidR="00F02E1C" w:rsidRDefault="00F02E1C" w:rsidP="007E179E">
      <w:pPr>
        <w:pStyle w:val="FootnoteText"/>
      </w:pPr>
      <w:r>
        <w:t>GIZ / EU4Green – Прирачници за зелена економија и одржлив бизнис за мали и средни претпријатија</w:t>
      </w:r>
    </w:p>
    <w:p w14:paraId="0FA6C44E" w14:textId="59FF9377" w:rsidR="00F02E1C" w:rsidRDefault="00F02E1C" w:rsidP="007E179E">
      <w:pPr>
        <w:pStyle w:val="FootnoteText"/>
      </w:pPr>
      <w:r>
        <w:t>Глобален договор на ОН - Известување за ESG за мали бизниси</w:t>
      </w:r>
    </w:p>
    <w:p w14:paraId="0BC58AED" w14:textId="0D9391D9" w:rsidR="00F02E1C" w:rsidRDefault="00F02E1C" w:rsidP="007E179E">
      <w:pPr>
        <w:pStyle w:val="FootnoteText"/>
      </w:pPr>
      <w:r>
        <w:t>Меѓународна финансиска корпорација (IFC) - Стандарди за изведба за еколошка и социјална одржливост</w:t>
      </w:r>
    </w:p>
    <w:p w14:paraId="682E4E09" w14:textId="79ABE5C8" w:rsidR="00F02E1C" w:rsidRDefault="00F02E1C" w:rsidP="007E179E">
      <w:pPr>
        <w:pStyle w:val="FootnoteText"/>
      </w:pPr>
      <w:r>
        <w:t>ЕИБ (Европска инвестициска банка) - Насоки за зелено и одржливо финансирање</w:t>
      </w:r>
    </w:p>
  </w:footnote>
  <w:footnote w:id="5">
    <w:p w14:paraId="328AC6F5" w14:textId="77777777" w:rsidR="00F02E1C" w:rsidRDefault="00F02E1C" w:rsidP="00CB1446">
      <w:pPr>
        <w:pStyle w:val="FootnoteText"/>
      </w:pPr>
      <w:r>
        <w:rPr>
          <w:rStyle w:val="FootnoteReference"/>
        </w:rPr>
        <w:footnoteRef/>
      </w:r>
      <w:r>
        <w:t xml:space="preserve"> </w:t>
      </w:r>
      <w:bookmarkStart w:id="12" w:name="_Hlk195044934"/>
      <w:r>
        <w:t>Европска комисија – таксономски компас на ЕУ: https://finance.ec.europa.eu/eu-taxonomy-regulation</w:t>
      </w:r>
    </w:p>
    <w:p w14:paraId="10FF7841" w14:textId="77777777" w:rsidR="00F02E1C" w:rsidRDefault="00F02E1C" w:rsidP="00CB1446">
      <w:pPr>
        <w:pStyle w:val="FootnoteText"/>
      </w:pPr>
      <w:r>
        <w:t>Европска комисија – Акционен план за одржливи финансии: https://finance.ec.europa.eu/sustainable-finance</w:t>
      </w:r>
    </w:p>
    <w:p w14:paraId="33B50186" w14:textId="77777777" w:rsidR="00F02E1C" w:rsidRDefault="00F02E1C" w:rsidP="00CB1446">
      <w:pPr>
        <w:pStyle w:val="FootnoteText"/>
      </w:pPr>
      <w:r>
        <w:t>Службен весник на ЕУ - Регулатива за таксономија на ЕУ (2020/852)</w:t>
      </w:r>
    </w:p>
    <w:p w14:paraId="42083617" w14:textId="77777777" w:rsidR="00F02E1C" w:rsidRDefault="00F02E1C" w:rsidP="00CB1446">
      <w:pPr>
        <w:pStyle w:val="FootnoteText"/>
      </w:pPr>
      <w:r>
        <w:t>https://eur-lex.europa.eu/legal-content/EN/TXT/?uri=CELEX%3A32020R0852</w:t>
      </w:r>
    </w:p>
    <w:p w14:paraId="500FE3FA" w14:textId="77777777" w:rsidR="00F02E1C" w:rsidRDefault="00F02E1C" w:rsidP="00CB1446">
      <w:pPr>
        <w:pStyle w:val="FootnoteText"/>
      </w:pPr>
      <w:r>
        <w:t>Европска инвестициска банка - Green Finance. https://www.eib.org/en/about/priorities/climate-action/index.htm</w:t>
      </w:r>
    </w:p>
    <w:p w14:paraId="0CA9BC93" w14:textId="77777777" w:rsidR="00F02E1C" w:rsidRDefault="00F02E1C" w:rsidP="00CB1446">
      <w:pPr>
        <w:pStyle w:val="FootnoteText"/>
      </w:pPr>
      <w:r>
        <w:t>ОЕЦД - Финансирање на мали и средни претпријатија за одржливост</w:t>
      </w:r>
    </w:p>
    <w:p w14:paraId="66B40334" w14:textId="77777777" w:rsidR="00F02E1C" w:rsidRDefault="00F02E1C" w:rsidP="00CB1446">
      <w:pPr>
        <w:pStyle w:val="FootnoteText"/>
      </w:pPr>
      <w:r>
        <w:t>https://www.oecd.org/finance/sustainable-finance-and-smes.htm</w:t>
      </w:r>
    </w:p>
    <w:p w14:paraId="425E339F" w14:textId="22EBDDC0" w:rsidR="00F02E1C" w:rsidRDefault="00F02E1C" w:rsidP="00CB1446">
      <w:pPr>
        <w:pStyle w:val="FootnoteText"/>
      </w:pPr>
      <w:r>
        <w:t>GIZ / EU4Green / UNDP – Практични прирачници и водичи за одржлив бизнис и финансирање во регионот на Западен Балкан</w:t>
      </w:r>
      <w:bookmarkEnd w:id="12"/>
    </w:p>
  </w:footnote>
  <w:footnote w:id="6">
    <w:p w14:paraId="1A595517" w14:textId="77777777" w:rsidR="00624278" w:rsidRDefault="00624278" w:rsidP="00624278">
      <w:pPr>
        <w:pStyle w:val="FootnoteText"/>
      </w:pPr>
      <w:r>
        <w:rPr>
          <w:rStyle w:val="FootnoteReference"/>
        </w:rPr>
        <w:footnoteRef/>
      </w:r>
      <w:r>
        <w:t>https://www.mchamber.mk</w:t>
      </w:r>
    </w:p>
    <w:p w14:paraId="702202A2" w14:textId="77777777" w:rsidR="00624278" w:rsidRDefault="00624278" w:rsidP="00624278">
      <w:pPr>
        <w:pStyle w:val="FootnoteText"/>
      </w:pPr>
      <w:r>
        <w:t>https://een.ec.europa.eu</w:t>
      </w:r>
    </w:p>
    <w:p w14:paraId="63CBF24B" w14:textId="77777777" w:rsidR="00624278" w:rsidRDefault="00624278" w:rsidP="00624278">
      <w:pPr>
        <w:pStyle w:val="FootnoteText"/>
      </w:pPr>
      <w:r>
        <w:t>https://ebrdgeff.com/macedonia_gff</w:t>
      </w:r>
    </w:p>
    <w:p w14:paraId="221B0163" w14:textId="77777777" w:rsidR="00624278" w:rsidRDefault="00624278" w:rsidP="00624278">
      <w:pPr>
        <w:pStyle w:val="FootnoteText"/>
      </w:pPr>
      <w:r>
        <w:t>https://www.dbnm.mk</w:t>
      </w:r>
    </w:p>
    <w:p w14:paraId="0110FA27" w14:textId="77777777" w:rsidR="00624278" w:rsidRDefault="00624278" w:rsidP="00624278">
      <w:pPr>
        <w:pStyle w:val="FootnoteText"/>
      </w:pPr>
      <w:r>
        <w:t>Портал за финансирање и тендери на Европската комисија</w:t>
      </w:r>
    </w:p>
    <w:p w14:paraId="32C64B0A" w14:textId="03594CB7" w:rsidR="00624278" w:rsidRDefault="00624278" w:rsidP="00624278">
      <w:pPr>
        <w:pStyle w:val="FootnoteText"/>
      </w:pPr>
      <w:r>
        <w:t>https://ec.europa.eu/info/funding-tenders/opportunities/portal/screen/home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F02E1C" w14:paraId="7DFB048F" w14:textId="77777777" w:rsidTr="00BD248D">
      <w:trPr>
        <w:trHeight w:val="1567"/>
      </w:trPr>
      <w:tc>
        <w:tcPr>
          <w:tcW w:w="1951" w:type="dxa"/>
          <w:vAlign w:val="center"/>
        </w:tcPr>
        <w:p w14:paraId="46A65447" w14:textId="2F97A828" w:rsidR="00F02E1C" w:rsidRDefault="00F02E1C">
          <w:pPr>
            <w:pStyle w:val="Header"/>
            <w:rPr>
              <w:noProof/>
            </w:rPr>
          </w:pPr>
          <w:bookmarkStart w:id="18" w:name="_Hlk193965224"/>
          <w:r>
            <w:rPr>
              <w:noProof/>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F507961" w14:textId="799BB95E" w:rsidR="00F02E1C" w:rsidRPr="00934ADE" w:rsidRDefault="00934ADE" w:rsidP="00BD248D">
          <w:pPr>
            <w:pStyle w:val="Header"/>
            <w:rPr>
              <w:b/>
              <w:bCs/>
              <w:noProof/>
              <w:color w:val="008000"/>
              <w:sz w:val="24"/>
              <w:szCs w:val="24"/>
              <w:lang w:val="mk-MK"/>
            </w:rPr>
          </w:pPr>
          <w:r>
            <w:rPr>
              <w:b/>
              <w:bCs/>
              <w:noProof/>
              <w:color w:val="008000"/>
              <w:sz w:val="24"/>
              <w:szCs w:val="24"/>
              <w:lang w:val="mk-MK"/>
            </w:rPr>
            <w:t>Зелен пат</w:t>
          </w:r>
        </w:p>
        <w:p w14:paraId="4BE6471D" w14:textId="02D43C4E" w:rsidR="00F02E1C" w:rsidRDefault="00AD1FAB" w:rsidP="00BD248D">
          <w:pPr>
            <w:pStyle w:val="Header"/>
            <w:rPr>
              <w:noProof/>
            </w:rPr>
          </w:pPr>
          <w:r w:rsidRPr="00AD1FAB">
            <w:rPr>
              <w:b/>
              <w:bCs/>
              <w:noProof/>
              <w:color w:val="008000"/>
              <w:sz w:val="24"/>
              <w:szCs w:val="24"/>
            </w:rPr>
            <w:t>Партнерство за зелени бизниси</w:t>
          </w:r>
        </w:p>
      </w:tc>
      <w:tc>
        <w:tcPr>
          <w:tcW w:w="5235" w:type="dxa"/>
          <w:vAlign w:val="center"/>
        </w:tcPr>
        <w:p w14:paraId="08D1674D" w14:textId="77777777" w:rsidR="00F02E1C" w:rsidRPr="00BD248D" w:rsidRDefault="00F02E1C" w:rsidP="00BD248D">
          <w:pPr>
            <w:pStyle w:val="Header"/>
            <w:jc w:val="right"/>
            <w:rPr>
              <w:b/>
              <w:bCs/>
              <w:noProof/>
              <w:color w:val="003399"/>
              <w:sz w:val="28"/>
              <w:szCs w:val="28"/>
            </w:rPr>
          </w:pPr>
          <w:r w:rsidRPr="00BD248D">
            <w:rPr>
              <w:b/>
              <w:bCs/>
              <w:noProof/>
              <w:color w:val="003399"/>
              <w:sz w:val="28"/>
              <w:szCs w:val="28"/>
            </w:rPr>
            <w:t>Еразмус+</w:t>
          </w:r>
        </w:p>
        <w:p w14:paraId="6474A839" w14:textId="6BCCEAAA" w:rsidR="00F02E1C" w:rsidRPr="00BD248D" w:rsidRDefault="00F02E1C" w:rsidP="00BD248D">
          <w:pPr>
            <w:pStyle w:val="Header"/>
            <w:jc w:val="right"/>
            <w:rPr>
              <w:b/>
              <w:bCs/>
              <w:noProof/>
              <w:color w:val="003399"/>
              <w:sz w:val="20"/>
              <w:szCs w:val="20"/>
            </w:rPr>
          </w:pPr>
          <w:r w:rsidRPr="00BD248D">
            <w:rPr>
              <w:b/>
              <w:bCs/>
              <w:noProof/>
              <w:color w:val="003399"/>
              <w:sz w:val="20"/>
              <w:szCs w:val="20"/>
            </w:rPr>
            <w:t>KA210-ADU - Мали партнерства во образование на возрасни</w:t>
          </w:r>
        </w:p>
        <w:p w14:paraId="0FDF20D3" w14:textId="6A6675D6" w:rsidR="00F02E1C" w:rsidRPr="00BD248D" w:rsidRDefault="00F02E1C" w:rsidP="00BD248D">
          <w:pPr>
            <w:pStyle w:val="Header"/>
            <w:jc w:val="right"/>
            <w:rPr>
              <w:b/>
              <w:bCs/>
              <w:noProof/>
              <w:color w:val="003399"/>
              <w:sz w:val="36"/>
              <w:szCs w:val="36"/>
            </w:rPr>
          </w:pPr>
          <w:r w:rsidRPr="00BD248D">
            <w:rPr>
              <w:b/>
              <w:bCs/>
              <w:noProof/>
              <w:color w:val="003399"/>
              <w:sz w:val="20"/>
              <w:szCs w:val="20"/>
            </w:rPr>
            <w:t>Проект 2023-2-RS01-KA210-ADU-000184311</w:t>
          </w:r>
        </w:p>
      </w:tc>
    </w:tr>
    <w:bookmarkEnd w:id="18"/>
  </w:tbl>
  <w:p w14:paraId="746F3849" w14:textId="77777777" w:rsidR="00F02E1C" w:rsidRPr="000518AB" w:rsidRDefault="00F02E1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EFB"/>
    <w:multiLevelType w:val="hybridMultilevel"/>
    <w:tmpl w:val="8E9471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D283E"/>
    <w:multiLevelType w:val="hybridMultilevel"/>
    <w:tmpl w:val="3654B36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B2801D1"/>
    <w:multiLevelType w:val="hybridMultilevel"/>
    <w:tmpl w:val="977011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73784"/>
    <w:multiLevelType w:val="multilevel"/>
    <w:tmpl w:val="F9A4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A1CA3"/>
    <w:multiLevelType w:val="hybridMultilevel"/>
    <w:tmpl w:val="BF6647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765F4"/>
    <w:multiLevelType w:val="multilevel"/>
    <w:tmpl w:val="BEF0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C0717"/>
    <w:multiLevelType w:val="hybridMultilevel"/>
    <w:tmpl w:val="3B48A19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F62B15"/>
    <w:multiLevelType w:val="hybridMultilevel"/>
    <w:tmpl w:val="F46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730054"/>
    <w:multiLevelType w:val="multilevel"/>
    <w:tmpl w:val="76F2A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282CA5"/>
    <w:multiLevelType w:val="hybridMultilevel"/>
    <w:tmpl w:val="FCAAA8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A64517"/>
    <w:multiLevelType w:val="hybridMultilevel"/>
    <w:tmpl w:val="739A6D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625FA3"/>
    <w:multiLevelType w:val="hybridMultilevel"/>
    <w:tmpl w:val="DED4F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4E7094"/>
    <w:multiLevelType w:val="multilevel"/>
    <w:tmpl w:val="498E4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825644">
    <w:abstractNumId w:val="11"/>
  </w:num>
  <w:num w:numId="2" w16cid:durableId="1956867846">
    <w:abstractNumId w:val="7"/>
  </w:num>
  <w:num w:numId="3" w16cid:durableId="349840019">
    <w:abstractNumId w:val="6"/>
  </w:num>
  <w:num w:numId="4" w16cid:durableId="1694067650">
    <w:abstractNumId w:val="3"/>
  </w:num>
  <w:num w:numId="5" w16cid:durableId="516389778">
    <w:abstractNumId w:val="0"/>
  </w:num>
  <w:num w:numId="6" w16cid:durableId="898908189">
    <w:abstractNumId w:val="12"/>
  </w:num>
  <w:num w:numId="7" w16cid:durableId="230582882">
    <w:abstractNumId w:val="10"/>
  </w:num>
  <w:num w:numId="8" w16cid:durableId="656149386">
    <w:abstractNumId w:val="1"/>
  </w:num>
  <w:num w:numId="9" w16cid:durableId="1812139474">
    <w:abstractNumId w:val="2"/>
  </w:num>
  <w:num w:numId="10" w16cid:durableId="1285650038">
    <w:abstractNumId w:val="4"/>
  </w:num>
  <w:num w:numId="11" w16cid:durableId="1314136703">
    <w:abstractNumId w:val="9"/>
  </w:num>
  <w:num w:numId="12" w16cid:durableId="60953835">
    <w:abstractNumId w:val="8"/>
  </w:num>
  <w:num w:numId="13" w16cid:durableId="30889933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3C"/>
    <w:rsid w:val="000016CF"/>
    <w:rsid w:val="00001E57"/>
    <w:rsid w:val="000020E6"/>
    <w:rsid w:val="00004281"/>
    <w:rsid w:val="000072ED"/>
    <w:rsid w:val="0001132D"/>
    <w:rsid w:val="00011CDD"/>
    <w:rsid w:val="00015B1A"/>
    <w:rsid w:val="000172A1"/>
    <w:rsid w:val="00022261"/>
    <w:rsid w:val="00023A21"/>
    <w:rsid w:val="00027A59"/>
    <w:rsid w:val="0003119D"/>
    <w:rsid w:val="0003514F"/>
    <w:rsid w:val="00036AA3"/>
    <w:rsid w:val="000411C5"/>
    <w:rsid w:val="0004137F"/>
    <w:rsid w:val="000415CD"/>
    <w:rsid w:val="000433FF"/>
    <w:rsid w:val="00046A35"/>
    <w:rsid w:val="00047C64"/>
    <w:rsid w:val="00051648"/>
    <w:rsid w:val="000518AB"/>
    <w:rsid w:val="00052673"/>
    <w:rsid w:val="0006132A"/>
    <w:rsid w:val="00062713"/>
    <w:rsid w:val="00062A35"/>
    <w:rsid w:val="000663F5"/>
    <w:rsid w:val="000717B8"/>
    <w:rsid w:val="00076595"/>
    <w:rsid w:val="00076DA9"/>
    <w:rsid w:val="00083F4F"/>
    <w:rsid w:val="00085F5F"/>
    <w:rsid w:val="00086459"/>
    <w:rsid w:val="0009180B"/>
    <w:rsid w:val="00091BA0"/>
    <w:rsid w:val="000948BA"/>
    <w:rsid w:val="00095201"/>
    <w:rsid w:val="00096C06"/>
    <w:rsid w:val="000A11E2"/>
    <w:rsid w:val="000A30E8"/>
    <w:rsid w:val="000A31CC"/>
    <w:rsid w:val="000B18BC"/>
    <w:rsid w:val="000B5D26"/>
    <w:rsid w:val="000C0CD2"/>
    <w:rsid w:val="000C1B6E"/>
    <w:rsid w:val="000C7049"/>
    <w:rsid w:val="000C7309"/>
    <w:rsid w:val="000D155E"/>
    <w:rsid w:val="000D4CA8"/>
    <w:rsid w:val="000D61DD"/>
    <w:rsid w:val="000D6C1C"/>
    <w:rsid w:val="000D712C"/>
    <w:rsid w:val="000D729A"/>
    <w:rsid w:val="000E00E3"/>
    <w:rsid w:val="000E04D7"/>
    <w:rsid w:val="000E1FC2"/>
    <w:rsid w:val="000E2224"/>
    <w:rsid w:val="000E5568"/>
    <w:rsid w:val="000F0177"/>
    <w:rsid w:val="000F35E5"/>
    <w:rsid w:val="000F471A"/>
    <w:rsid w:val="000F5605"/>
    <w:rsid w:val="000F5968"/>
    <w:rsid w:val="000F6A1E"/>
    <w:rsid w:val="00101A21"/>
    <w:rsid w:val="00105A20"/>
    <w:rsid w:val="00106E81"/>
    <w:rsid w:val="00107A4B"/>
    <w:rsid w:val="00113C37"/>
    <w:rsid w:val="00115D09"/>
    <w:rsid w:val="00115EF2"/>
    <w:rsid w:val="001202D0"/>
    <w:rsid w:val="0012059A"/>
    <w:rsid w:val="0012103A"/>
    <w:rsid w:val="001221FB"/>
    <w:rsid w:val="001247DC"/>
    <w:rsid w:val="0012618B"/>
    <w:rsid w:val="00127D35"/>
    <w:rsid w:val="001301F7"/>
    <w:rsid w:val="00134717"/>
    <w:rsid w:val="00147025"/>
    <w:rsid w:val="00147EA8"/>
    <w:rsid w:val="00150864"/>
    <w:rsid w:val="00150BDD"/>
    <w:rsid w:val="001521F5"/>
    <w:rsid w:val="0015316E"/>
    <w:rsid w:val="00161144"/>
    <w:rsid w:val="001622A1"/>
    <w:rsid w:val="00164AFB"/>
    <w:rsid w:val="00174C52"/>
    <w:rsid w:val="00176D6A"/>
    <w:rsid w:val="00181A43"/>
    <w:rsid w:val="001837B4"/>
    <w:rsid w:val="001849C6"/>
    <w:rsid w:val="00184D7E"/>
    <w:rsid w:val="00192A25"/>
    <w:rsid w:val="00196679"/>
    <w:rsid w:val="001968C6"/>
    <w:rsid w:val="00197CFF"/>
    <w:rsid w:val="001A2F9C"/>
    <w:rsid w:val="001A36F3"/>
    <w:rsid w:val="001A74AF"/>
    <w:rsid w:val="001A74C0"/>
    <w:rsid w:val="001B1A11"/>
    <w:rsid w:val="001B2A22"/>
    <w:rsid w:val="001B2D4A"/>
    <w:rsid w:val="001B5FE5"/>
    <w:rsid w:val="001B6528"/>
    <w:rsid w:val="001B7D3E"/>
    <w:rsid w:val="001B7F6B"/>
    <w:rsid w:val="001C2380"/>
    <w:rsid w:val="001C4F66"/>
    <w:rsid w:val="001C6FBC"/>
    <w:rsid w:val="001C7A75"/>
    <w:rsid w:val="001E31E0"/>
    <w:rsid w:val="001E3DE0"/>
    <w:rsid w:val="001E4156"/>
    <w:rsid w:val="001F0373"/>
    <w:rsid w:val="001F70AA"/>
    <w:rsid w:val="002005BC"/>
    <w:rsid w:val="00201506"/>
    <w:rsid w:val="00203FD0"/>
    <w:rsid w:val="0020519E"/>
    <w:rsid w:val="00207248"/>
    <w:rsid w:val="00210A91"/>
    <w:rsid w:val="002139CA"/>
    <w:rsid w:val="0021624E"/>
    <w:rsid w:val="002179C7"/>
    <w:rsid w:val="00221061"/>
    <w:rsid w:val="0022583F"/>
    <w:rsid w:val="00226801"/>
    <w:rsid w:val="00226A7F"/>
    <w:rsid w:val="00231E0A"/>
    <w:rsid w:val="00233DCB"/>
    <w:rsid w:val="0023555B"/>
    <w:rsid w:val="00235E48"/>
    <w:rsid w:val="00247F41"/>
    <w:rsid w:val="002525F2"/>
    <w:rsid w:val="0025268E"/>
    <w:rsid w:val="002543B9"/>
    <w:rsid w:val="00255083"/>
    <w:rsid w:val="00256FD9"/>
    <w:rsid w:val="00260370"/>
    <w:rsid w:val="00260371"/>
    <w:rsid w:val="00263705"/>
    <w:rsid w:val="00270021"/>
    <w:rsid w:val="00270A2C"/>
    <w:rsid w:val="00271AE6"/>
    <w:rsid w:val="002722CF"/>
    <w:rsid w:val="0027697B"/>
    <w:rsid w:val="00277F6C"/>
    <w:rsid w:val="00284328"/>
    <w:rsid w:val="00284A11"/>
    <w:rsid w:val="002850C9"/>
    <w:rsid w:val="00286349"/>
    <w:rsid w:val="0029046C"/>
    <w:rsid w:val="00293662"/>
    <w:rsid w:val="0029640C"/>
    <w:rsid w:val="002B07F4"/>
    <w:rsid w:val="002B0F73"/>
    <w:rsid w:val="002B4404"/>
    <w:rsid w:val="002B5C60"/>
    <w:rsid w:val="002C3508"/>
    <w:rsid w:val="002C6231"/>
    <w:rsid w:val="002C645C"/>
    <w:rsid w:val="002C7A6D"/>
    <w:rsid w:val="002D0BF6"/>
    <w:rsid w:val="002D0D04"/>
    <w:rsid w:val="002D22CC"/>
    <w:rsid w:val="002D2D7A"/>
    <w:rsid w:val="002D4698"/>
    <w:rsid w:val="002D7F4D"/>
    <w:rsid w:val="002E18A2"/>
    <w:rsid w:val="002E23DE"/>
    <w:rsid w:val="002E352F"/>
    <w:rsid w:val="002E3769"/>
    <w:rsid w:val="002E6477"/>
    <w:rsid w:val="002F24A5"/>
    <w:rsid w:val="002F76F3"/>
    <w:rsid w:val="003009B0"/>
    <w:rsid w:val="0030161C"/>
    <w:rsid w:val="003032E0"/>
    <w:rsid w:val="00303F98"/>
    <w:rsid w:val="00310E70"/>
    <w:rsid w:val="003116FE"/>
    <w:rsid w:val="0031233A"/>
    <w:rsid w:val="00313D4E"/>
    <w:rsid w:val="00316BAC"/>
    <w:rsid w:val="00317A4A"/>
    <w:rsid w:val="003222E9"/>
    <w:rsid w:val="00323006"/>
    <w:rsid w:val="00323A9F"/>
    <w:rsid w:val="00325CE3"/>
    <w:rsid w:val="00326B69"/>
    <w:rsid w:val="00330BC0"/>
    <w:rsid w:val="0033449E"/>
    <w:rsid w:val="00335858"/>
    <w:rsid w:val="00341300"/>
    <w:rsid w:val="0034254C"/>
    <w:rsid w:val="0034310C"/>
    <w:rsid w:val="003442AF"/>
    <w:rsid w:val="0034521B"/>
    <w:rsid w:val="00345B53"/>
    <w:rsid w:val="00345BDF"/>
    <w:rsid w:val="003466BA"/>
    <w:rsid w:val="00350D36"/>
    <w:rsid w:val="003522F0"/>
    <w:rsid w:val="00352DDA"/>
    <w:rsid w:val="00360ADE"/>
    <w:rsid w:val="00362A0A"/>
    <w:rsid w:val="0036403F"/>
    <w:rsid w:val="00365A8B"/>
    <w:rsid w:val="00366ECA"/>
    <w:rsid w:val="00371126"/>
    <w:rsid w:val="00373285"/>
    <w:rsid w:val="003741F8"/>
    <w:rsid w:val="00374379"/>
    <w:rsid w:val="003762B6"/>
    <w:rsid w:val="003806C3"/>
    <w:rsid w:val="00381455"/>
    <w:rsid w:val="00381FEF"/>
    <w:rsid w:val="00383377"/>
    <w:rsid w:val="003857E6"/>
    <w:rsid w:val="00385BAF"/>
    <w:rsid w:val="00386F7B"/>
    <w:rsid w:val="0039170E"/>
    <w:rsid w:val="00394A4A"/>
    <w:rsid w:val="003A118B"/>
    <w:rsid w:val="003A3119"/>
    <w:rsid w:val="003A632F"/>
    <w:rsid w:val="003B18A0"/>
    <w:rsid w:val="003B25FF"/>
    <w:rsid w:val="003B3302"/>
    <w:rsid w:val="003B4318"/>
    <w:rsid w:val="003B7888"/>
    <w:rsid w:val="003B7A49"/>
    <w:rsid w:val="003B7F7A"/>
    <w:rsid w:val="003C2B93"/>
    <w:rsid w:val="003C3875"/>
    <w:rsid w:val="003C5024"/>
    <w:rsid w:val="003C51CB"/>
    <w:rsid w:val="003C6408"/>
    <w:rsid w:val="003D21A7"/>
    <w:rsid w:val="003D4703"/>
    <w:rsid w:val="003E3A28"/>
    <w:rsid w:val="003E4CD1"/>
    <w:rsid w:val="003E54A3"/>
    <w:rsid w:val="003E66DB"/>
    <w:rsid w:val="003E6723"/>
    <w:rsid w:val="003E6CEB"/>
    <w:rsid w:val="003F4395"/>
    <w:rsid w:val="003F4554"/>
    <w:rsid w:val="003F6654"/>
    <w:rsid w:val="00403755"/>
    <w:rsid w:val="004043F1"/>
    <w:rsid w:val="00404C43"/>
    <w:rsid w:val="00411930"/>
    <w:rsid w:val="00413732"/>
    <w:rsid w:val="00415CD2"/>
    <w:rsid w:val="00416EE7"/>
    <w:rsid w:val="00417694"/>
    <w:rsid w:val="00424361"/>
    <w:rsid w:val="004246B5"/>
    <w:rsid w:val="00425329"/>
    <w:rsid w:val="004321A6"/>
    <w:rsid w:val="00434571"/>
    <w:rsid w:val="004409CD"/>
    <w:rsid w:val="004430E6"/>
    <w:rsid w:val="00445511"/>
    <w:rsid w:val="00451E2A"/>
    <w:rsid w:val="00452815"/>
    <w:rsid w:val="00453904"/>
    <w:rsid w:val="004576E1"/>
    <w:rsid w:val="004646F1"/>
    <w:rsid w:val="00464C9E"/>
    <w:rsid w:val="00465E30"/>
    <w:rsid w:val="00467769"/>
    <w:rsid w:val="004702DE"/>
    <w:rsid w:val="004710AA"/>
    <w:rsid w:val="00472070"/>
    <w:rsid w:val="00473704"/>
    <w:rsid w:val="00474B0F"/>
    <w:rsid w:val="0047770E"/>
    <w:rsid w:val="00480E1A"/>
    <w:rsid w:val="00481045"/>
    <w:rsid w:val="00481427"/>
    <w:rsid w:val="004850C0"/>
    <w:rsid w:val="00485C6B"/>
    <w:rsid w:val="004862DC"/>
    <w:rsid w:val="00487DE0"/>
    <w:rsid w:val="00491F7C"/>
    <w:rsid w:val="0049386D"/>
    <w:rsid w:val="00496A5F"/>
    <w:rsid w:val="00497F72"/>
    <w:rsid w:val="004A1DB8"/>
    <w:rsid w:val="004A651A"/>
    <w:rsid w:val="004B21F2"/>
    <w:rsid w:val="004B41A8"/>
    <w:rsid w:val="004B5A62"/>
    <w:rsid w:val="004B6203"/>
    <w:rsid w:val="004C21A9"/>
    <w:rsid w:val="004C2527"/>
    <w:rsid w:val="004C488A"/>
    <w:rsid w:val="004D1CD7"/>
    <w:rsid w:val="004D392B"/>
    <w:rsid w:val="004E0DEE"/>
    <w:rsid w:val="004E1437"/>
    <w:rsid w:val="004E3C2E"/>
    <w:rsid w:val="004E7665"/>
    <w:rsid w:val="004F00DA"/>
    <w:rsid w:val="004F5CDA"/>
    <w:rsid w:val="004F7728"/>
    <w:rsid w:val="00501BC8"/>
    <w:rsid w:val="005024CE"/>
    <w:rsid w:val="00502B6F"/>
    <w:rsid w:val="00502EC9"/>
    <w:rsid w:val="005068A6"/>
    <w:rsid w:val="00512298"/>
    <w:rsid w:val="005127F6"/>
    <w:rsid w:val="0051320C"/>
    <w:rsid w:val="005137A8"/>
    <w:rsid w:val="00515904"/>
    <w:rsid w:val="00522107"/>
    <w:rsid w:val="005228AF"/>
    <w:rsid w:val="00523819"/>
    <w:rsid w:val="00523A35"/>
    <w:rsid w:val="0052527B"/>
    <w:rsid w:val="00526130"/>
    <w:rsid w:val="00527CC0"/>
    <w:rsid w:val="00531721"/>
    <w:rsid w:val="00532564"/>
    <w:rsid w:val="00537F98"/>
    <w:rsid w:val="005410EA"/>
    <w:rsid w:val="00542237"/>
    <w:rsid w:val="0055070D"/>
    <w:rsid w:val="00550B09"/>
    <w:rsid w:val="00552943"/>
    <w:rsid w:val="00552A8C"/>
    <w:rsid w:val="00552F7D"/>
    <w:rsid w:val="00553C21"/>
    <w:rsid w:val="00554283"/>
    <w:rsid w:val="00555618"/>
    <w:rsid w:val="00557740"/>
    <w:rsid w:val="005607CE"/>
    <w:rsid w:val="00560C5F"/>
    <w:rsid w:val="0056134A"/>
    <w:rsid w:val="005618A6"/>
    <w:rsid w:val="005630CD"/>
    <w:rsid w:val="005636ED"/>
    <w:rsid w:val="00564902"/>
    <w:rsid w:val="00564BDD"/>
    <w:rsid w:val="00574175"/>
    <w:rsid w:val="00575142"/>
    <w:rsid w:val="00580BF2"/>
    <w:rsid w:val="00580F8B"/>
    <w:rsid w:val="00583096"/>
    <w:rsid w:val="0058404F"/>
    <w:rsid w:val="00585347"/>
    <w:rsid w:val="00587F4D"/>
    <w:rsid w:val="005923CF"/>
    <w:rsid w:val="005A4BA1"/>
    <w:rsid w:val="005A4E8D"/>
    <w:rsid w:val="005A5F62"/>
    <w:rsid w:val="005B06D7"/>
    <w:rsid w:val="005B0E73"/>
    <w:rsid w:val="005B47B8"/>
    <w:rsid w:val="005B493A"/>
    <w:rsid w:val="005B70C9"/>
    <w:rsid w:val="005B7A86"/>
    <w:rsid w:val="005C109E"/>
    <w:rsid w:val="005C1C21"/>
    <w:rsid w:val="005C20EE"/>
    <w:rsid w:val="005C2A10"/>
    <w:rsid w:val="005C4DD0"/>
    <w:rsid w:val="005C59CB"/>
    <w:rsid w:val="005C5CBB"/>
    <w:rsid w:val="005D4123"/>
    <w:rsid w:val="005D42E7"/>
    <w:rsid w:val="005E0B3C"/>
    <w:rsid w:val="005E135B"/>
    <w:rsid w:val="005E20AC"/>
    <w:rsid w:val="005E225C"/>
    <w:rsid w:val="005E2BF3"/>
    <w:rsid w:val="005E325A"/>
    <w:rsid w:val="005E3F19"/>
    <w:rsid w:val="005E52E7"/>
    <w:rsid w:val="005E5B57"/>
    <w:rsid w:val="005E729E"/>
    <w:rsid w:val="005E7D07"/>
    <w:rsid w:val="005F018D"/>
    <w:rsid w:val="005F15E3"/>
    <w:rsid w:val="005F329D"/>
    <w:rsid w:val="005F6D58"/>
    <w:rsid w:val="005F7CA4"/>
    <w:rsid w:val="00600CD2"/>
    <w:rsid w:val="006010DA"/>
    <w:rsid w:val="00602E5F"/>
    <w:rsid w:val="00604ACE"/>
    <w:rsid w:val="0061198C"/>
    <w:rsid w:val="00614D28"/>
    <w:rsid w:val="00617A66"/>
    <w:rsid w:val="006213DE"/>
    <w:rsid w:val="00622D60"/>
    <w:rsid w:val="00624278"/>
    <w:rsid w:val="00624321"/>
    <w:rsid w:val="00624F19"/>
    <w:rsid w:val="00626614"/>
    <w:rsid w:val="0063007F"/>
    <w:rsid w:val="00632F66"/>
    <w:rsid w:val="00633A01"/>
    <w:rsid w:val="00633A8C"/>
    <w:rsid w:val="00636435"/>
    <w:rsid w:val="00636DFD"/>
    <w:rsid w:val="0064074E"/>
    <w:rsid w:val="0064083E"/>
    <w:rsid w:val="00642437"/>
    <w:rsid w:val="00642E76"/>
    <w:rsid w:val="0064300C"/>
    <w:rsid w:val="00645E5C"/>
    <w:rsid w:val="00646140"/>
    <w:rsid w:val="00650E27"/>
    <w:rsid w:val="006544B9"/>
    <w:rsid w:val="00655FAE"/>
    <w:rsid w:val="0066101C"/>
    <w:rsid w:val="00665639"/>
    <w:rsid w:val="0066589E"/>
    <w:rsid w:val="00666378"/>
    <w:rsid w:val="0067372F"/>
    <w:rsid w:val="00673F4F"/>
    <w:rsid w:val="0067602D"/>
    <w:rsid w:val="00681066"/>
    <w:rsid w:val="00690359"/>
    <w:rsid w:val="00691560"/>
    <w:rsid w:val="00693869"/>
    <w:rsid w:val="0069694E"/>
    <w:rsid w:val="006A0559"/>
    <w:rsid w:val="006A19DA"/>
    <w:rsid w:val="006A4B1F"/>
    <w:rsid w:val="006A4D5A"/>
    <w:rsid w:val="006A6FE1"/>
    <w:rsid w:val="006B0A52"/>
    <w:rsid w:val="006C41F1"/>
    <w:rsid w:val="006C4BD7"/>
    <w:rsid w:val="006C573F"/>
    <w:rsid w:val="006D04A6"/>
    <w:rsid w:val="006D26A2"/>
    <w:rsid w:val="006D482A"/>
    <w:rsid w:val="006D7509"/>
    <w:rsid w:val="006E4EFE"/>
    <w:rsid w:val="006E5952"/>
    <w:rsid w:val="006E5F08"/>
    <w:rsid w:val="006F09AA"/>
    <w:rsid w:val="006F17C2"/>
    <w:rsid w:val="006F2A65"/>
    <w:rsid w:val="006F2D23"/>
    <w:rsid w:val="006F315F"/>
    <w:rsid w:val="006F38A2"/>
    <w:rsid w:val="007001A5"/>
    <w:rsid w:val="0070079B"/>
    <w:rsid w:val="00704590"/>
    <w:rsid w:val="007048E3"/>
    <w:rsid w:val="00704A82"/>
    <w:rsid w:val="007059FC"/>
    <w:rsid w:val="00710D1D"/>
    <w:rsid w:val="007127BB"/>
    <w:rsid w:val="00713832"/>
    <w:rsid w:val="0071436B"/>
    <w:rsid w:val="00715D4A"/>
    <w:rsid w:val="00721359"/>
    <w:rsid w:val="00721B2D"/>
    <w:rsid w:val="0072235F"/>
    <w:rsid w:val="00723C8A"/>
    <w:rsid w:val="00724598"/>
    <w:rsid w:val="007273C2"/>
    <w:rsid w:val="00727819"/>
    <w:rsid w:val="007312E4"/>
    <w:rsid w:val="00731EFB"/>
    <w:rsid w:val="00733810"/>
    <w:rsid w:val="00733E5A"/>
    <w:rsid w:val="00734FA0"/>
    <w:rsid w:val="00736C55"/>
    <w:rsid w:val="007372E2"/>
    <w:rsid w:val="0073736E"/>
    <w:rsid w:val="0073789A"/>
    <w:rsid w:val="00737B13"/>
    <w:rsid w:val="00741F91"/>
    <w:rsid w:val="00742ACB"/>
    <w:rsid w:val="00743DFB"/>
    <w:rsid w:val="007442C8"/>
    <w:rsid w:val="007450D1"/>
    <w:rsid w:val="0074563C"/>
    <w:rsid w:val="00750154"/>
    <w:rsid w:val="00754C91"/>
    <w:rsid w:val="007550F3"/>
    <w:rsid w:val="0075587F"/>
    <w:rsid w:val="00755A81"/>
    <w:rsid w:val="007560C1"/>
    <w:rsid w:val="007575E4"/>
    <w:rsid w:val="00757FB4"/>
    <w:rsid w:val="00760606"/>
    <w:rsid w:val="00761AF7"/>
    <w:rsid w:val="00761F8F"/>
    <w:rsid w:val="0076215A"/>
    <w:rsid w:val="00764C04"/>
    <w:rsid w:val="00766D49"/>
    <w:rsid w:val="00771277"/>
    <w:rsid w:val="00771584"/>
    <w:rsid w:val="007743B7"/>
    <w:rsid w:val="00775200"/>
    <w:rsid w:val="00775430"/>
    <w:rsid w:val="00775B0B"/>
    <w:rsid w:val="0078015C"/>
    <w:rsid w:val="00781623"/>
    <w:rsid w:val="00782A89"/>
    <w:rsid w:val="007848A3"/>
    <w:rsid w:val="00787C68"/>
    <w:rsid w:val="00794499"/>
    <w:rsid w:val="00794F40"/>
    <w:rsid w:val="0079513D"/>
    <w:rsid w:val="007955B1"/>
    <w:rsid w:val="00795D5F"/>
    <w:rsid w:val="007A2160"/>
    <w:rsid w:val="007A4A5C"/>
    <w:rsid w:val="007A7E48"/>
    <w:rsid w:val="007B2295"/>
    <w:rsid w:val="007B22AB"/>
    <w:rsid w:val="007B2683"/>
    <w:rsid w:val="007B5383"/>
    <w:rsid w:val="007B5A0C"/>
    <w:rsid w:val="007B5A93"/>
    <w:rsid w:val="007B7A46"/>
    <w:rsid w:val="007C297F"/>
    <w:rsid w:val="007C3E4F"/>
    <w:rsid w:val="007C78E9"/>
    <w:rsid w:val="007D17EF"/>
    <w:rsid w:val="007D4560"/>
    <w:rsid w:val="007D5EC9"/>
    <w:rsid w:val="007E179E"/>
    <w:rsid w:val="007E7E02"/>
    <w:rsid w:val="007F250B"/>
    <w:rsid w:val="007F3369"/>
    <w:rsid w:val="007F5CEE"/>
    <w:rsid w:val="007F64B1"/>
    <w:rsid w:val="007F6C22"/>
    <w:rsid w:val="00801071"/>
    <w:rsid w:val="00801A43"/>
    <w:rsid w:val="00801BF2"/>
    <w:rsid w:val="00803F9D"/>
    <w:rsid w:val="00812D6F"/>
    <w:rsid w:val="00812F7A"/>
    <w:rsid w:val="00813521"/>
    <w:rsid w:val="00821BB0"/>
    <w:rsid w:val="008228A2"/>
    <w:rsid w:val="00830F10"/>
    <w:rsid w:val="008314CD"/>
    <w:rsid w:val="0083323A"/>
    <w:rsid w:val="0083330B"/>
    <w:rsid w:val="0083396B"/>
    <w:rsid w:val="0083607E"/>
    <w:rsid w:val="00836683"/>
    <w:rsid w:val="0083742A"/>
    <w:rsid w:val="008401B7"/>
    <w:rsid w:val="00842DEB"/>
    <w:rsid w:val="00844DE2"/>
    <w:rsid w:val="00845065"/>
    <w:rsid w:val="008458EA"/>
    <w:rsid w:val="00851212"/>
    <w:rsid w:val="00854325"/>
    <w:rsid w:val="008577C0"/>
    <w:rsid w:val="00862379"/>
    <w:rsid w:val="008653F1"/>
    <w:rsid w:val="00867A32"/>
    <w:rsid w:val="00871920"/>
    <w:rsid w:val="008734BC"/>
    <w:rsid w:val="00873C4F"/>
    <w:rsid w:val="00875A14"/>
    <w:rsid w:val="0087728B"/>
    <w:rsid w:val="00881541"/>
    <w:rsid w:val="00881A3C"/>
    <w:rsid w:val="008845E4"/>
    <w:rsid w:val="00886B55"/>
    <w:rsid w:val="00887464"/>
    <w:rsid w:val="00891C36"/>
    <w:rsid w:val="00891ED7"/>
    <w:rsid w:val="0089257E"/>
    <w:rsid w:val="00893442"/>
    <w:rsid w:val="00894270"/>
    <w:rsid w:val="008971FA"/>
    <w:rsid w:val="008A036D"/>
    <w:rsid w:val="008A1313"/>
    <w:rsid w:val="008A2F12"/>
    <w:rsid w:val="008B0AEB"/>
    <w:rsid w:val="008B1136"/>
    <w:rsid w:val="008B2A26"/>
    <w:rsid w:val="008B3D03"/>
    <w:rsid w:val="008B53FC"/>
    <w:rsid w:val="008B5616"/>
    <w:rsid w:val="008B5FC3"/>
    <w:rsid w:val="008B7759"/>
    <w:rsid w:val="008C32DF"/>
    <w:rsid w:val="008C3FA7"/>
    <w:rsid w:val="008C48A3"/>
    <w:rsid w:val="008D7E25"/>
    <w:rsid w:val="008E2484"/>
    <w:rsid w:val="008E3E5D"/>
    <w:rsid w:val="008E5435"/>
    <w:rsid w:val="008F199F"/>
    <w:rsid w:val="008F6914"/>
    <w:rsid w:val="00903663"/>
    <w:rsid w:val="00910AD8"/>
    <w:rsid w:val="0091117F"/>
    <w:rsid w:val="0091348E"/>
    <w:rsid w:val="00914185"/>
    <w:rsid w:val="00915B17"/>
    <w:rsid w:val="00916248"/>
    <w:rsid w:val="009171D4"/>
    <w:rsid w:val="00920CF9"/>
    <w:rsid w:val="009214D1"/>
    <w:rsid w:val="00922641"/>
    <w:rsid w:val="0092432A"/>
    <w:rsid w:val="00931BCB"/>
    <w:rsid w:val="0093231F"/>
    <w:rsid w:val="00932CC9"/>
    <w:rsid w:val="00934ADE"/>
    <w:rsid w:val="00940E90"/>
    <w:rsid w:val="009463F7"/>
    <w:rsid w:val="009471E6"/>
    <w:rsid w:val="00950795"/>
    <w:rsid w:val="009514D2"/>
    <w:rsid w:val="00951975"/>
    <w:rsid w:val="00954785"/>
    <w:rsid w:val="00956B40"/>
    <w:rsid w:val="009578C4"/>
    <w:rsid w:val="0096024B"/>
    <w:rsid w:val="009622CF"/>
    <w:rsid w:val="00963B62"/>
    <w:rsid w:val="00966838"/>
    <w:rsid w:val="0096779A"/>
    <w:rsid w:val="009706FD"/>
    <w:rsid w:val="009720F5"/>
    <w:rsid w:val="009728D6"/>
    <w:rsid w:val="00974034"/>
    <w:rsid w:val="0097637D"/>
    <w:rsid w:val="00976670"/>
    <w:rsid w:val="009773A3"/>
    <w:rsid w:val="00977550"/>
    <w:rsid w:val="009809CC"/>
    <w:rsid w:val="0098152F"/>
    <w:rsid w:val="00984937"/>
    <w:rsid w:val="0098781E"/>
    <w:rsid w:val="00987EC1"/>
    <w:rsid w:val="009915B6"/>
    <w:rsid w:val="00992A56"/>
    <w:rsid w:val="0099558F"/>
    <w:rsid w:val="00995FF5"/>
    <w:rsid w:val="009A14EF"/>
    <w:rsid w:val="009A58A7"/>
    <w:rsid w:val="009B18C5"/>
    <w:rsid w:val="009B564F"/>
    <w:rsid w:val="009C51DB"/>
    <w:rsid w:val="009C5602"/>
    <w:rsid w:val="009C7712"/>
    <w:rsid w:val="009D1172"/>
    <w:rsid w:val="009D1FEE"/>
    <w:rsid w:val="009D2046"/>
    <w:rsid w:val="009D2BAE"/>
    <w:rsid w:val="009D59BB"/>
    <w:rsid w:val="009D5A1B"/>
    <w:rsid w:val="009D69FC"/>
    <w:rsid w:val="009E0BBD"/>
    <w:rsid w:val="009E3837"/>
    <w:rsid w:val="009E4184"/>
    <w:rsid w:val="009E449A"/>
    <w:rsid w:val="009E5D90"/>
    <w:rsid w:val="009E604D"/>
    <w:rsid w:val="009E6187"/>
    <w:rsid w:val="009E7145"/>
    <w:rsid w:val="009F173E"/>
    <w:rsid w:val="009F3244"/>
    <w:rsid w:val="009F47C6"/>
    <w:rsid w:val="009F77C8"/>
    <w:rsid w:val="00A00C9F"/>
    <w:rsid w:val="00A02A8B"/>
    <w:rsid w:val="00A03189"/>
    <w:rsid w:val="00A03A06"/>
    <w:rsid w:val="00A04267"/>
    <w:rsid w:val="00A056E0"/>
    <w:rsid w:val="00A05D3A"/>
    <w:rsid w:val="00A079CB"/>
    <w:rsid w:val="00A10AE3"/>
    <w:rsid w:val="00A11605"/>
    <w:rsid w:val="00A1291C"/>
    <w:rsid w:val="00A1309D"/>
    <w:rsid w:val="00A132A7"/>
    <w:rsid w:val="00A13433"/>
    <w:rsid w:val="00A13C13"/>
    <w:rsid w:val="00A214EB"/>
    <w:rsid w:val="00A24398"/>
    <w:rsid w:val="00A24FC9"/>
    <w:rsid w:val="00A25C52"/>
    <w:rsid w:val="00A27879"/>
    <w:rsid w:val="00A30A8F"/>
    <w:rsid w:val="00A33E18"/>
    <w:rsid w:val="00A34AC4"/>
    <w:rsid w:val="00A4001B"/>
    <w:rsid w:val="00A4219A"/>
    <w:rsid w:val="00A43327"/>
    <w:rsid w:val="00A467F3"/>
    <w:rsid w:val="00A47398"/>
    <w:rsid w:val="00A50365"/>
    <w:rsid w:val="00A53C1E"/>
    <w:rsid w:val="00A5436E"/>
    <w:rsid w:val="00A54D61"/>
    <w:rsid w:val="00A5711A"/>
    <w:rsid w:val="00A574B8"/>
    <w:rsid w:val="00A60040"/>
    <w:rsid w:val="00A600F8"/>
    <w:rsid w:val="00A60CEC"/>
    <w:rsid w:val="00A62240"/>
    <w:rsid w:val="00A63EDB"/>
    <w:rsid w:val="00A64DC4"/>
    <w:rsid w:val="00A66206"/>
    <w:rsid w:val="00A71396"/>
    <w:rsid w:val="00A72D7B"/>
    <w:rsid w:val="00A73A0B"/>
    <w:rsid w:val="00A74BEC"/>
    <w:rsid w:val="00A77FF6"/>
    <w:rsid w:val="00A80A03"/>
    <w:rsid w:val="00A82239"/>
    <w:rsid w:val="00A86234"/>
    <w:rsid w:val="00A87217"/>
    <w:rsid w:val="00A923DD"/>
    <w:rsid w:val="00A92608"/>
    <w:rsid w:val="00A940D2"/>
    <w:rsid w:val="00A94188"/>
    <w:rsid w:val="00A966A2"/>
    <w:rsid w:val="00AA04AE"/>
    <w:rsid w:val="00AA0ED2"/>
    <w:rsid w:val="00AA10F1"/>
    <w:rsid w:val="00AA2109"/>
    <w:rsid w:val="00AA5AD1"/>
    <w:rsid w:val="00AB42C1"/>
    <w:rsid w:val="00AB4FA7"/>
    <w:rsid w:val="00AB750A"/>
    <w:rsid w:val="00AC141D"/>
    <w:rsid w:val="00AC37BF"/>
    <w:rsid w:val="00AC3AA2"/>
    <w:rsid w:val="00AC45B4"/>
    <w:rsid w:val="00AC486B"/>
    <w:rsid w:val="00AC55DA"/>
    <w:rsid w:val="00AD135B"/>
    <w:rsid w:val="00AD1FAB"/>
    <w:rsid w:val="00AD3CD7"/>
    <w:rsid w:val="00AD5B4A"/>
    <w:rsid w:val="00AD6745"/>
    <w:rsid w:val="00AE102E"/>
    <w:rsid w:val="00AE1950"/>
    <w:rsid w:val="00AE1CCB"/>
    <w:rsid w:val="00AE319B"/>
    <w:rsid w:val="00AE337B"/>
    <w:rsid w:val="00AE48B4"/>
    <w:rsid w:val="00AE5CE2"/>
    <w:rsid w:val="00AE7C60"/>
    <w:rsid w:val="00AF0A88"/>
    <w:rsid w:val="00AF2409"/>
    <w:rsid w:val="00AF3C54"/>
    <w:rsid w:val="00AF708F"/>
    <w:rsid w:val="00B02112"/>
    <w:rsid w:val="00B03A1B"/>
    <w:rsid w:val="00B06715"/>
    <w:rsid w:val="00B1096B"/>
    <w:rsid w:val="00B114C6"/>
    <w:rsid w:val="00B1202A"/>
    <w:rsid w:val="00B1217F"/>
    <w:rsid w:val="00B15473"/>
    <w:rsid w:val="00B205C7"/>
    <w:rsid w:val="00B23B88"/>
    <w:rsid w:val="00B23F99"/>
    <w:rsid w:val="00B3045B"/>
    <w:rsid w:val="00B3145E"/>
    <w:rsid w:val="00B319D9"/>
    <w:rsid w:val="00B329A1"/>
    <w:rsid w:val="00B32E25"/>
    <w:rsid w:val="00B34A89"/>
    <w:rsid w:val="00B35609"/>
    <w:rsid w:val="00B36C15"/>
    <w:rsid w:val="00B375ED"/>
    <w:rsid w:val="00B41086"/>
    <w:rsid w:val="00B47323"/>
    <w:rsid w:val="00B5280B"/>
    <w:rsid w:val="00B56DFC"/>
    <w:rsid w:val="00B579F1"/>
    <w:rsid w:val="00B63A83"/>
    <w:rsid w:val="00B645E6"/>
    <w:rsid w:val="00B64B15"/>
    <w:rsid w:val="00B65C0F"/>
    <w:rsid w:val="00B701D0"/>
    <w:rsid w:val="00B71E98"/>
    <w:rsid w:val="00B731C0"/>
    <w:rsid w:val="00B75077"/>
    <w:rsid w:val="00B76DDB"/>
    <w:rsid w:val="00B77605"/>
    <w:rsid w:val="00B81FB7"/>
    <w:rsid w:val="00B825D7"/>
    <w:rsid w:val="00B84DEC"/>
    <w:rsid w:val="00B85DCB"/>
    <w:rsid w:val="00B85F7A"/>
    <w:rsid w:val="00B862A7"/>
    <w:rsid w:val="00B923F3"/>
    <w:rsid w:val="00B93352"/>
    <w:rsid w:val="00B96C32"/>
    <w:rsid w:val="00B97AD2"/>
    <w:rsid w:val="00BA3191"/>
    <w:rsid w:val="00BA3949"/>
    <w:rsid w:val="00BA666F"/>
    <w:rsid w:val="00BA6822"/>
    <w:rsid w:val="00BA6900"/>
    <w:rsid w:val="00BA7E57"/>
    <w:rsid w:val="00BB0229"/>
    <w:rsid w:val="00BB02EE"/>
    <w:rsid w:val="00BB0343"/>
    <w:rsid w:val="00BB057B"/>
    <w:rsid w:val="00BB29B7"/>
    <w:rsid w:val="00BB2B69"/>
    <w:rsid w:val="00BC14E2"/>
    <w:rsid w:val="00BC2CBA"/>
    <w:rsid w:val="00BC2E65"/>
    <w:rsid w:val="00BD0F67"/>
    <w:rsid w:val="00BD2417"/>
    <w:rsid w:val="00BD248D"/>
    <w:rsid w:val="00BD31CB"/>
    <w:rsid w:val="00BD7EEA"/>
    <w:rsid w:val="00BE4159"/>
    <w:rsid w:val="00BE6FE9"/>
    <w:rsid w:val="00BF328B"/>
    <w:rsid w:val="00BF57D7"/>
    <w:rsid w:val="00C008FA"/>
    <w:rsid w:val="00C0231E"/>
    <w:rsid w:val="00C02D53"/>
    <w:rsid w:val="00C038D8"/>
    <w:rsid w:val="00C068F8"/>
    <w:rsid w:val="00C06B14"/>
    <w:rsid w:val="00C07432"/>
    <w:rsid w:val="00C11629"/>
    <w:rsid w:val="00C13CD3"/>
    <w:rsid w:val="00C15AE7"/>
    <w:rsid w:val="00C169EC"/>
    <w:rsid w:val="00C22269"/>
    <w:rsid w:val="00C23A11"/>
    <w:rsid w:val="00C25B78"/>
    <w:rsid w:val="00C26C94"/>
    <w:rsid w:val="00C27245"/>
    <w:rsid w:val="00C2729A"/>
    <w:rsid w:val="00C27D98"/>
    <w:rsid w:val="00C30C4F"/>
    <w:rsid w:val="00C33805"/>
    <w:rsid w:val="00C34AFA"/>
    <w:rsid w:val="00C40FA1"/>
    <w:rsid w:val="00C410EF"/>
    <w:rsid w:val="00C416AD"/>
    <w:rsid w:val="00C420F3"/>
    <w:rsid w:val="00C45538"/>
    <w:rsid w:val="00C514E7"/>
    <w:rsid w:val="00C5775A"/>
    <w:rsid w:val="00C578A3"/>
    <w:rsid w:val="00C57E1B"/>
    <w:rsid w:val="00C604B8"/>
    <w:rsid w:val="00C622B9"/>
    <w:rsid w:val="00C672DD"/>
    <w:rsid w:val="00C7013B"/>
    <w:rsid w:val="00C736D4"/>
    <w:rsid w:val="00C75998"/>
    <w:rsid w:val="00C772F4"/>
    <w:rsid w:val="00C77523"/>
    <w:rsid w:val="00C77D46"/>
    <w:rsid w:val="00C815C9"/>
    <w:rsid w:val="00C816AE"/>
    <w:rsid w:val="00C81A0B"/>
    <w:rsid w:val="00C85410"/>
    <w:rsid w:val="00C86F50"/>
    <w:rsid w:val="00C90011"/>
    <w:rsid w:val="00C93B4E"/>
    <w:rsid w:val="00C96077"/>
    <w:rsid w:val="00C96888"/>
    <w:rsid w:val="00CA0884"/>
    <w:rsid w:val="00CA343A"/>
    <w:rsid w:val="00CA36F2"/>
    <w:rsid w:val="00CA4045"/>
    <w:rsid w:val="00CA51AE"/>
    <w:rsid w:val="00CA5999"/>
    <w:rsid w:val="00CB1446"/>
    <w:rsid w:val="00CB181E"/>
    <w:rsid w:val="00CB1ACA"/>
    <w:rsid w:val="00CB1F82"/>
    <w:rsid w:val="00CB47CC"/>
    <w:rsid w:val="00CB5C22"/>
    <w:rsid w:val="00CB5ECF"/>
    <w:rsid w:val="00CC0769"/>
    <w:rsid w:val="00CC3FC2"/>
    <w:rsid w:val="00CC4DEB"/>
    <w:rsid w:val="00CC5622"/>
    <w:rsid w:val="00CD1095"/>
    <w:rsid w:val="00CD126D"/>
    <w:rsid w:val="00CD1D14"/>
    <w:rsid w:val="00CD2822"/>
    <w:rsid w:val="00CD2B23"/>
    <w:rsid w:val="00CD309E"/>
    <w:rsid w:val="00CD3C18"/>
    <w:rsid w:val="00CD3EE3"/>
    <w:rsid w:val="00CD588D"/>
    <w:rsid w:val="00CD752D"/>
    <w:rsid w:val="00CE033E"/>
    <w:rsid w:val="00CE18EC"/>
    <w:rsid w:val="00CE5269"/>
    <w:rsid w:val="00CE5C42"/>
    <w:rsid w:val="00CE6CAF"/>
    <w:rsid w:val="00CF01A5"/>
    <w:rsid w:val="00CF1940"/>
    <w:rsid w:val="00CF2F70"/>
    <w:rsid w:val="00CF2F80"/>
    <w:rsid w:val="00CF52C4"/>
    <w:rsid w:val="00CF60EA"/>
    <w:rsid w:val="00D00391"/>
    <w:rsid w:val="00D01266"/>
    <w:rsid w:val="00D0222A"/>
    <w:rsid w:val="00D04643"/>
    <w:rsid w:val="00D04E9C"/>
    <w:rsid w:val="00D07B1B"/>
    <w:rsid w:val="00D10B38"/>
    <w:rsid w:val="00D10E73"/>
    <w:rsid w:val="00D13FA0"/>
    <w:rsid w:val="00D146A4"/>
    <w:rsid w:val="00D160A5"/>
    <w:rsid w:val="00D20C2A"/>
    <w:rsid w:val="00D215DC"/>
    <w:rsid w:val="00D21649"/>
    <w:rsid w:val="00D21D64"/>
    <w:rsid w:val="00D260E6"/>
    <w:rsid w:val="00D270ED"/>
    <w:rsid w:val="00D35700"/>
    <w:rsid w:val="00D374A9"/>
    <w:rsid w:val="00D4020B"/>
    <w:rsid w:val="00D44BDF"/>
    <w:rsid w:val="00D50046"/>
    <w:rsid w:val="00D500C8"/>
    <w:rsid w:val="00D5125C"/>
    <w:rsid w:val="00D52E00"/>
    <w:rsid w:val="00D536A5"/>
    <w:rsid w:val="00D537C9"/>
    <w:rsid w:val="00D56360"/>
    <w:rsid w:val="00D563D0"/>
    <w:rsid w:val="00D6019D"/>
    <w:rsid w:val="00D62297"/>
    <w:rsid w:val="00D66EAF"/>
    <w:rsid w:val="00D675F1"/>
    <w:rsid w:val="00D67697"/>
    <w:rsid w:val="00D70625"/>
    <w:rsid w:val="00D73DA4"/>
    <w:rsid w:val="00D80B9B"/>
    <w:rsid w:val="00D80DF7"/>
    <w:rsid w:val="00D8406E"/>
    <w:rsid w:val="00D85498"/>
    <w:rsid w:val="00D85D2F"/>
    <w:rsid w:val="00D85D62"/>
    <w:rsid w:val="00D87458"/>
    <w:rsid w:val="00D9109E"/>
    <w:rsid w:val="00D97AA9"/>
    <w:rsid w:val="00DB1EB5"/>
    <w:rsid w:val="00DB2906"/>
    <w:rsid w:val="00DB52DD"/>
    <w:rsid w:val="00DB76A8"/>
    <w:rsid w:val="00DC205A"/>
    <w:rsid w:val="00DC4195"/>
    <w:rsid w:val="00DC47E5"/>
    <w:rsid w:val="00DC6B46"/>
    <w:rsid w:val="00DD2218"/>
    <w:rsid w:val="00DD4D45"/>
    <w:rsid w:val="00DE37A2"/>
    <w:rsid w:val="00DE4AE4"/>
    <w:rsid w:val="00DE6978"/>
    <w:rsid w:val="00DE71CC"/>
    <w:rsid w:val="00DE7AAC"/>
    <w:rsid w:val="00DF1843"/>
    <w:rsid w:val="00DF4133"/>
    <w:rsid w:val="00DF4EBE"/>
    <w:rsid w:val="00DF7C0A"/>
    <w:rsid w:val="00E023F6"/>
    <w:rsid w:val="00E05BDD"/>
    <w:rsid w:val="00E05DBB"/>
    <w:rsid w:val="00E07C82"/>
    <w:rsid w:val="00E1153A"/>
    <w:rsid w:val="00E16754"/>
    <w:rsid w:val="00E170C2"/>
    <w:rsid w:val="00E2004B"/>
    <w:rsid w:val="00E23857"/>
    <w:rsid w:val="00E26307"/>
    <w:rsid w:val="00E2696C"/>
    <w:rsid w:val="00E277B0"/>
    <w:rsid w:val="00E311CA"/>
    <w:rsid w:val="00E32A4C"/>
    <w:rsid w:val="00E330D1"/>
    <w:rsid w:val="00E3697B"/>
    <w:rsid w:val="00E40FD0"/>
    <w:rsid w:val="00E41E4E"/>
    <w:rsid w:val="00E42B36"/>
    <w:rsid w:val="00E45985"/>
    <w:rsid w:val="00E51FCE"/>
    <w:rsid w:val="00E53975"/>
    <w:rsid w:val="00E548A1"/>
    <w:rsid w:val="00E5521D"/>
    <w:rsid w:val="00E557E6"/>
    <w:rsid w:val="00E55977"/>
    <w:rsid w:val="00E56BA7"/>
    <w:rsid w:val="00E57E0E"/>
    <w:rsid w:val="00E64967"/>
    <w:rsid w:val="00E666B9"/>
    <w:rsid w:val="00E7197E"/>
    <w:rsid w:val="00E720D3"/>
    <w:rsid w:val="00E731BD"/>
    <w:rsid w:val="00E74069"/>
    <w:rsid w:val="00E81480"/>
    <w:rsid w:val="00E831BA"/>
    <w:rsid w:val="00E8727B"/>
    <w:rsid w:val="00E87F55"/>
    <w:rsid w:val="00E904AA"/>
    <w:rsid w:val="00E938C5"/>
    <w:rsid w:val="00E95C33"/>
    <w:rsid w:val="00E971BE"/>
    <w:rsid w:val="00EA030D"/>
    <w:rsid w:val="00EA0947"/>
    <w:rsid w:val="00EA187B"/>
    <w:rsid w:val="00EA298B"/>
    <w:rsid w:val="00EA3924"/>
    <w:rsid w:val="00EA4573"/>
    <w:rsid w:val="00EA5495"/>
    <w:rsid w:val="00EA6581"/>
    <w:rsid w:val="00EA7E74"/>
    <w:rsid w:val="00EB14E9"/>
    <w:rsid w:val="00EB4500"/>
    <w:rsid w:val="00EB482C"/>
    <w:rsid w:val="00EB5D5B"/>
    <w:rsid w:val="00EB63A6"/>
    <w:rsid w:val="00EB6A22"/>
    <w:rsid w:val="00EC7000"/>
    <w:rsid w:val="00EC708D"/>
    <w:rsid w:val="00EC7490"/>
    <w:rsid w:val="00ED19DC"/>
    <w:rsid w:val="00ED2726"/>
    <w:rsid w:val="00ED6C45"/>
    <w:rsid w:val="00EE022F"/>
    <w:rsid w:val="00EE3D9E"/>
    <w:rsid w:val="00EE4C63"/>
    <w:rsid w:val="00EE53D7"/>
    <w:rsid w:val="00EE6574"/>
    <w:rsid w:val="00EF02B4"/>
    <w:rsid w:val="00EF32F4"/>
    <w:rsid w:val="00EF5C4B"/>
    <w:rsid w:val="00EF62F1"/>
    <w:rsid w:val="00EF6C44"/>
    <w:rsid w:val="00EF6FCA"/>
    <w:rsid w:val="00EF7950"/>
    <w:rsid w:val="00F02CFF"/>
    <w:rsid w:val="00F02E1C"/>
    <w:rsid w:val="00F0537C"/>
    <w:rsid w:val="00F05BAE"/>
    <w:rsid w:val="00F076E8"/>
    <w:rsid w:val="00F11019"/>
    <w:rsid w:val="00F133E5"/>
    <w:rsid w:val="00F134C1"/>
    <w:rsid w:val="00F13AD0"/>
    <w:rsid w:val="00F13B8C"/>
    <w:rsid w:val="00F14668"/>
    <w:rsid w:val="00F15696"/>
    <w:rsid w:val="00F15723"/>
    <w:rsid w:val="00F15D27"/>
    <w:rsid w:val="00F174FC"/>
    <w:rsid w:val="00F21B21"/>
    <w:rsid w:val="00F21FA8"/>
    <w:rsid w:val="00F2210B"/>
    <w:rsid w:val="00F22F9B"/>
    <w:rsid w:val="00F240C1"/>
    <w:rsid w:val="00F246C0"/>
    <w:rsid w:val="00F2739A"/>
    <w:rsid w:val="00F30F1C"/>
    <w:rsid w:val="00F37B4C"/>
    <w:rsid w:val="00F42731"/>
    <w:rsid w:val="00F432FC"/>
    <w:rsid w:val="00F4684A"/>
    <w:rsid w:val="00F46DBD"/>
    <w:rsid w:val="00F50E6B"/>
    <w:rsid w:val="00F60464"/>
    <w:rsid w:val="00F610DB"/>
    <w:rsid w:val="00F61ECB"/>
    <w:rsid w:val="00F66E06"/>
    <w:rsid w:val="00F724B7"/>
    <w:rsid w:val="00F724BE"/>
    <w:rsid w:val="00F77236"/>
    <w:rsid w:val="00F8233B"/>
    <w:rsid w:val="00F84A7A"/>
    <w:rsid w:val="00F877B4"/>
    <w:rsid w:val="00F87DB6"/>
    <w:rsid w:val="00F90386"/>
    <w:rsid w:val="00F917C2"/>
    <w:rsid w:val="00F91BD2"/>
    <w:rsid w:val="00F938F5"/>
    <w:rsid w:val="00F95179"/>
    <w:rsid w:val="00F9761C"/>
    <w:rsid w:val="00FA28F7"/>
    <w:rsid w:val="00FA56FE"/>
    <w:rsid w:val="00FB1815"/>
    <w:rsid w:val="00FB2A11"/>
    <w:rsid w:val="00FB7243"/>
    <w:rsid w:val="00FC490F"/>
    <w:rsid w:val="00FC5BEF"/>
    <w:rsid w:val="00FD1DDF"/>
    <w:rsid w:val="00FD5ADD"/>
    <w:rsid w:val="00FD70C4"/>
    <w:rsid w:val="00FD72E1"/>
    <w:rsid w:val="00FE014F"/>
    <w:rsid w:val="00FE15C2"/>
    <w:rsid w:val="00FE193D"/>
    <w:rsid w:val="00FE3BFC"/>
    <w:rsid w:val="00FE4F8F"/>
    <w:rsid w:val="00FE5AF1"/>
    <w:rsid w:val="00FF06D2"/>
    <w:rsid w:val="00FF3D4C"/>
    <w:rsid w:val="00FF7472"/>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uiPriority w:val="3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mk"/>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mk"/>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mk"/>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character" w:customStyle="1" w:styleId="UnresolvedMention3">
    <w:name w:val="Unresolved Mention3"/>
    <w:basedOn w:val="DefaultParagraphFont"/>
    <w:uiPriority w:val="99"/>
    <w:semiHidden/>
    <w:unhideWhenUsed/>
    <w:rsid w:val="002D4698"/>
    <w:rPr>
      <w:color w:val="605E5C"/>
      <w:shd w:val="clear" w:color="auto" w:fill="E1DFDD"/>
    </w:rPr>
  </w:style>
  <w:style w:type="character" w:styleId="UnresolvedMention">
    <w:name w:val="Unresolved Mention"/>
    <w:basedOn w:val="DefaultParagraphFont"/>
    <w:uiPriority w:val="99"/>
    <w:semiHidden/>
    <w:unhideWhenUsed/>
    <w:rsid w:val="009915B6"/>
    <w:rPr>
      <w:color w:val="605E5C"/>
      <w:shd w:val="clear" w:color="auto" w:fill="E1DFDD"/>
    </w:rPr>
  </w:style>
  <w:style w:type="paragraph" w:styleId="TOC3">
    <w:name w:val="toc 3"/>
    <w:basedOn w:val="Normal"/>
    <w:next w:val="Normal"/>
    <w:autoRedefine/>
    <w:uiPriority w:val="39"/>
    <w:unhideWhenUsed/>
    <w:rsid w:val="002E18A2"/>
    <w:pPr>
      <w:spacing w:after="100"/>
      <w:ind w:left="440"/>
    </w:pPr>
  </w:style>
  <w:style w:type="table" w:customStyle="1" w:styleId="TableGrid1">
    <w:name w:val="Table Grid1"/>
    <w:basedOn w:val="TableNormal"/>
    <w:next w:val="TableGrid"/>
    <w:uiPriority w:val="39"/>
    <w:rsid w:val="00CF52C4"/>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F52C4"/>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F52C4"/>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00391"/>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636ED"/>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179E"/>
    <w:rPr>
      <w:kern w:val="0"/>
      <w14:ligatures w14:val="none"/>
    </w:rPr>
  </w:style>
  <w:style w:type="character" w:styleId="Strong">
    <w:name w:val="Strong"/>
    <w:basedOn w:val="DefaultParagraphFont"/>
    <w:uiPriority w:val="22"/>
    <w:qFormat/>
    <w:rsid w:val="005E3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191384612">
      <w:bodyDiv w:val="1"/>
      <w:marLeft w:val="0"/>
      <w:marRight w:val="0"/>
      <w:marTop w:val="0"/>
      <w:marBottom w:val="0"/>
      <w:divBdr>
        <w:top w:val="none" w:sz="0" w:space="0" w:color="auto"/>
        <w:left w:val="none" w:sz="0" w:space="0" w:color="auto"/>
        <w:bottom w:val="none" w:sz="0" w:space="0" w:color="auto"/>
        <w:right w:val="none" w:sz="0" w:space="0" w:color="auto"/>
      </w:divBdr>
    </w:div>
    <w:div w:id="281227873">
      <w:bodyDiv w:val="1"/>
      <w:marLeft w:val="0"/>
      <w:marRight w:val="0"/>
      <w:marTop w:val="0"/>
      <w:marBottom w:val="0"/>
      <w:divBdr>
        <w:top w:val="none" w:sz="0" w:space="0" w:color="auto"/>
        <w:left w:val="none" w:sz="0" w:space="0" w:color="auto"/>
        <w:bottom w:val="none" w:sz="0" w:space="0" w:color="auto"/>
        <w:right w:val="none" w:sz="0" w:space="0" w:color="auto"/>
      </w:divBdr>
    </w:div>
    <w:div w:id="32552017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652107441">
      <w:bodyDiv w:val="1"/>
      <w:marLeft w:val="0"/>
      <w:marRight w:val="0"/>
      <w:marTop w:val="0"/>
      <w:marBottom w:val="0"/>
      <w:divBdr>
        <w:top w:val="none" w:sz="0" w:space="0" w:color="auto"/>
        <w:left w:val="none" w:sz="0" w:space="0" w:color="auto"/>
        <w:bottom w:val="none" w:sz="0" w:space="0" w:color="auto"/>
        <w:right w:val="none" w:sz="0" w:space="0" w:color="auto"/>
      </w:divBdr>
    </w:div>
    <w:div w:id="692193985">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742607483">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9253856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60459183">
      <w:bodyDiv w:val="1"/>
      <w:marLeft w:val="0"/>
      <w:marRight w:val="0"/>
      <w:marTop w:val="0"/>
      <w:marBottom w:val="0"/>
      <w:divBdr>
        <w:top w:val="none" w:sz="0" w:space="0" w:color="auto"/>
        <w:left w:val="none" w:sz="0" w:space="0" w:color="auto"/>
        <w:bottom w:val="none" w:sz="0" w:space="0" w:color="auto"/>
        <w:right w:val="none" w:sz="0" w:space="0" w:color="auto"/>
      </w:divBdr>
    </w:div>
    <w:div w:id="1177496368">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324163802">
      <w:bodyDiv w:val="1"/>
      <w:marLeft w:val="0"/>
      <w:marRight w:val="0"/>
      <w:marTop w:val="0"/>
      <w:marBottom w:val="0"/>
      <w:divBdr>
        <w:top w:val="none" w:sz="0" w:space="0" w:color="auto"/>
        <w:left w:val="none" w:sz="0" w:space="0" w:color="auto"/>
        <w:bottom w:val="none" w:sz="0" w:space="0" w:color="auto"/>
        <w:right w:val="none" w:sz="0" w:space="0" w:color="auto"/>
      </w:divBdr>
      <w:divsChild>
        <w:div w:id="437992524">
          <w:marLeft w:val="0"/>
          <w:marRight w:val="0"/>
          <w:marTop w:val="0"/>
          <w:marBottom w:val="0"/>
          <w:divBdr>
            <w:top w:val="none" w:sz="0" w:space="0" w:color="auto"/>
            <w:left w:val="none" w:sz="0" w:space="0" w:color="auto"/>
            <w:bottom w:val="none" w:sz="0" w:space="0" w:color="auto"/>
            <w:right w:val="none" w:sz="0" w:space="0" w:color="auto"/>
          </w:divBdr>
          <w:divsChild>
            <w:div w:id="1827697863">
              <w:marLeft w:val="0"/>
              <w:marRight w:val="0"/>
              <w:marTop w:val="0"/>
              <w:marBottom w:val="0"/>
              <w:divBdr>
                <w:top w:val="none" w:sz="0" w:space="0" w:color="auto"/>
                <w:left w:val="none" w:sz="0" w:space="0" w:color="auto"/>
                <w:bottom w:val="none" w:sz="0" w:space="0" w:color="auto"/>
                <w:right w:val="none" w:sz="0" w:space="0" w:color="auto"/>
              </w:divBdr>
              <w:divsChild>
                <w:div w:id="9138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4318">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644461400">
      <w:bodyDiv w:val="1"/>
      <w:marLeft w:val="0"/>
      <w:marRight w:val="0"/>
      <w:marTop w:val="0"/>
      <w:marBottom w:val="0"/>
      <w:divBdr>
        <w:top w:val="none" w:sz="0" w:space="0" w:color="auto"/>
        <w:left w:val="none" w:sz="0" w:space="0" w:color="auto"/>
        <w:bottom w:val="none" w:sz="0" w:space="0" w:color="auto"/>
        <w:right w:val="none" w:sz="0" w:space="0" w:color="auto"/>
      </w:divBdr>
    </w:div>
    <w:div w:id="1806896566">
      <w:bodyDiv w:val="1"/>
      <w:marLeft w:val="0"/>
      <w:marRight w:val="0"/>
      <w:marTop w:val="0"/>
      <w:marBottom w:val="0"/>
      <w:divBdr>
        <w:top w:val="none" w:sz="0" w:space="0" w:color="auto"/>
        <w:left w:val="none" w:sz="0" w:space="0" w:color="auto"/>
        <w:bottom w:val="none" w:sz="0" w:space="0" w:color="auto"/>
        <w:right w:val="none" w:sz="0" w:space="0" w:color="auto"/>
      </w:divBdr>
    </w:div>
    <w:div w:id="187184394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 w:id="2034502103">
      <w:bodyDiv w:val="1"/>
      <w:marLeft w:val="0"/>
      <w:marRight w:val="0"/>
      <w:marTop w:val="0"/>
      <w:marBottom w:val="0"/>
      <w:divBdr>
        <w:top w:val="none" w:sz="0" w:space="0" w:color="auto"/>
        <w:left w:val="none" w:sz="0" w:space="0" w:color="auto"/>
        <w:bottom w:val="none" w:sz="0" w:space="0" w:color="auto"/>
        <w:right w:val="none" w:sz="0" w:space="0" w:color="auto"/>
      </w:divBdr>
    </w:div>
    <w:div w:id="20856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me-csp.com/macedoni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ergetskiportal.rs/obnovljivi-izvori-energij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ergynet.rs/resenja-za-dom/grejanje-i-hladenje/toplotne-pumpe/" TargetMode="External"/><Relationship Id="rId4" Type="http://schemas.openxmlformats.org/officeDocument/2006/relationships/settings" Target="settings.xml"/><Relationship Id="rId9" Type="http://schemas.openxmlformats.org/officeDocument/2006/relationships/hyperlink" Target="https://investeu.europa.eu/index_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mbdp.com.mk/mk/Products/KreditiranjePrekuBankiProizvod/18" TargetMode="External"/><Relationship Id="rId13" Type="http://schemas.openxmlformats.org/officeDocument/2006/relationships/hyperlink" Target="https://www.wbif.eu/news-details/smes-go-digital-supports-small-businesses-north-macedonia" TargetMode="External"/><Relationship Id="rId3" Type="http://schemas.openxmlformats.org/officeDocument/2006/relationships/hyperlink" Target="https://north-macedonia.iom.int/news/accelerating-green-finance-north-macedonia-introducing-green-financing-facility" TargetMode="External"/><Relationship Id="rId7" Type="http://schemas.openxmlformats.org/officeDocument/2006/relationships/hyperlink" Target="https://ebrdgeff.com/macedonia/mk/" TargetMode="External"/><Relationship Id="rId12" Type="http://schemas.openxmlformats.org/officeDocument/2006/relationships/hyperlink" Target="https://www.eib.org/en/press/all/2023-326-eib-global-provides-a-eur1-million-technical-assistance-grant-to-boost-the-rollout-of-green-financing-for-smes-in-north-macedonia" TargetMode="External"/><Relationship Id="rId2" Type="http://schemas.openxmlformats.org/officeDocument/2006/relationships/hyperlink" Target="https://www.undp.org/north-macedonia/projects/green-finance-facility-improve-air-quality-and-combat-climate-change-north-macedonia" TargetMode="External"/><Relationship Id="rId16" Type="http://schemas.openxmlformats.org/officeDocument/2006/relationships/hyperlink" Target="https://www.oecd.org/sme/" TargetMode="External"/><Relationship Id="rId1" Type="http://schemas.openxmlformats.org/officeDocument/2006/relationships/hyperlink" Target="https://kb.mk/ns-newsarticle-komercijalna-banka-se-vkluci-vo-programata-za-zeleni-finansiski-sistemi-na-eib.nspx" TargetMode="External"/><Relationship Id="rId6" Type="http://schemas.openxmlformats.org/officeDocument/2006/relationships/hyperlink" Target="https://fitr.mk" TargetMode="External"/><Relationship Id="rId11" Type="http://schemas.openxmlformats.org/officeDocument/2006/relationships/hyperlink" Target="https://ebrdgeff.com/ebrd-eu-and-donors-support-smes-and-green-homes-in-north-macedonia/" TargetMode="External"/><Relationship Id="rId5" Type="http://schemas.openxmlformats.org/officeDocument/2006/relationships/hyperlink" Target="http://www.greendevelopment.mk/en/newsReadMore.aspx?id=1" TargetMode="External"/><Relationship Id="rId15" Type="http://schemas.openxmlformats.org/officeDocument/2006/relationships/hyperlink" Target="https://finance.ec.europa.eu" TargetMode="External"/><Relationship Id="rId10" Type="http://schemas.openxmlformats.org/officeDocument/2006/relationships/hyperlink" Target="https://www.ebrd.com/home/news-and-events/news/2023/new-green-finance-for-smes-and-underserved-individuals-in-north-macedonia.html" TargetMode="External"/><Relationship Id="rId4" Type="http://schemas.openxmlformats.org/officeDocument/2006/relationships/hyperlink" Target="https://www.cif.org/country/north-macedonia" TargetMode="External"/><Relationship Id="rId9" Type="http://schemas.openxmlformats.org/officeDocument/2006/relationships/hyperlink" Target="https://ebrdgeff.com/ebrd-eu-and-donors-support-smes-and-green-homes-in-north-macedonia/" TargetMode="External"/><Relationship Id="rId14" Type="http://schemas.openxmlformats.org/officeDocument/2006/relationships/hyperlink" Target="https://www.afd.fr/en/carte-des-projets/supporting-green-and-social-financing-north-macedo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Изберете ставка.</w:t>
          </w:r>
        </w:p>
      </w:docPartBody>
    </w:docPart>
    <w:docPart>
      <w:docPartPr>
        <w:name w:val="7A69FBF6854244CC9CBB0DBBFF6AA25D"/>
        <w:category>
          <w:name w:val="General"/>
          <w:gallery w:val="placeholder"/>
        </w:category>
        <w:types>
          <w:type w:val="bbPlcHdr"/>
        </w:types>
        <w:behaviors>
          <w:behavior w:val="content"/>
        </w:behaviors>
        <w:guid w:val="{C6BB15B9-5494-4702-AACE-9F40AB64F5CC}"/>
      </w:docPartPr>
      <w:docPartBody>
        <w:p w:rsidR="004B396C" w:rsidRDefault="000C6560" w:rsidP="000C6560">
          <w:pPr>
            <w:pStyle w:val="7A69FBF6854244CC9CBB0DBBFF6AA25D"/>
          </w:pPr>
          <w:r w:rsidRPr="0035166D">
            <w:rPr>
              <w:rStyle w:val="PlaceholderText"/>
            </w:rPr>
            <w:t>Изберете ставка.</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Изберете ставка.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04281"/>
    <w:rsid w:val="00011797"/>
    <w:rsid w:val="0001412D"/>
    <w:rsid w:val="0001692E"/>
    <w:rsid w:val="000179EC"/>
    <w:rsid w:val="00025CA8"/>
    <w:rsid w:val="00034997"/>
    <w:rsid w:val="00035A92"/>
    <w:rsid w:val="0004241E"/>
    <w:rsid w:val="00046A35"/>
    <w:rsid w:val="00047625"/>
    <w:rsid w:val="000701E8"/>
    <w:rsid w:val="00090C24"/>
    <w:rsid w:val="000A3D24"/>
    <w:rsid w:val="000B18BC"/>
    <w:rsid w:val="000C09F0"/>
    <w:rsid w:val="000C1C37"/>
    <w:rsid w:val="000C6560"/>
    <w:rsid w:val="000C78BA"/>
    <w:rsid w:val="000E2F62"/>
    <w:rsid w:val="000E3010"/>
    <w:rsid w:val="000E56F8"/>
    <w:rsid w:val="000F3981"/>
    <w:rsid w:val="000F4BF7"/>
    <w:rsid w:val="00106E81"/>
    <w:rsid w:val="00110F9A"/>
    <w:rsid w:val="00113C37"/>
    <w:rsid w:val="001301F7"/>
    <w:rsid w:val="00135035"/>
    <w:rsid w:val="0015172F"/>
    <w:rsid w:val="0015316E"/>
    <w:rsid w:val="00155D94"/>
    <w:rsid w:val="0016319D"/>
    <w:rsid w:val="001727FC"/>
    <w:rsid w:val="00174E83"/>
    <w:rsid w:val="001837B4"/>
    <w:rsid w:val="00192A25"/>
    <w:rsid w:val="001A5373"/>
    <w:rsid w:val="001A6BDF"/>
    <w:rsid w:val="001D0CB7"/>
    <w:rsid w:val="001F6FC1"/>
    <w:rsid w:val="00200518"/>
    <w:rsid w:val="00203000"/>
    <w:rsid w:val="00203FD0"/>
    <w:rsid w:val="002102BD"/>
    <w:rsid w:val="002127DB"/>
    <w:rsid w:val="0021624E"/>
    <w:rsid w:val="002276A5"/>
    <w:rsid w:val="0024524B"/>
    <w:rsid w:val="00263705"/>
    <w:rsid w:val="002736D2"/>
    <w:rsid w:val="00284328"/>
    <w:rsid w:val="0028737D"/>
    <w:rsid w:val="002928C9"/>
    <w:rsid w:val="00292FB8"/>
    <w:rsid w:val="002966CD"/>
    <w:rsid w:val="002B07F4"/>
    <w:rsid w:val="002B1A8C"/>
    <w:rsid w:val="002C7A6D"/>
    <w:rsid w:val="002C7D94"/>
    <w:rsid w:val="002D22CC"/>
    <w:rsid w:val="002E7ED8"/>
    <w:rsid w:val="002F08A2"/>
    <w:rsid w:val="003009B0"/>
    <w:rsid w:val="00313F66"/>
    <w:rsid w:val="003150F5"/>
    <w:rsid w:val="00317A4A"/>
    <w:rsid w:val="00331617"/>
    <w:rsid w:val="00335858"/>
    <w:rsid w:val="00366712"/>
    <w:rsid w:val="00366ECA"/>
    <w:rsid w:val="00367ABA"/>
    <w:rsid w:val="00384B07"/>
    <w:rsid w:val="00392DC5"/>
    <w:rsid w:val="00395CBB"/>
    <w:rsid w:val="003965CD"/>
    <w:rsid w:val="003B258F"/>
    <w:rsid w:val="00413575"/>
    <w:rsid w:val="00414A43"/>
    <w:rsid w:val="00414D9A"/>
    <w:rsid w:val="00426C21"/>
    <w:rsid w:val="00430432"/>
    <w:rsid w:val="004646F1"/>
    <w:rsid w:val="00470BD5"/>
    <w:rsid w:val="004710AA"/>
    <w:rsid w:val="004828A8"/>
    <w:rsid w:val="00485BFC"/>
    <w:rsid w:val="00490393"/>
    <w:rsid w:val="00491C5F"/>
    <w:rsid w:val="004A309B"/>
    <w:rsid w:val="004A3FA8"/>
    <w:rsid w:val="004A5202"/>
    <w:rsid w:val="004A7FDE"/>
    <w:rsid w:val="004B396C"/>
    <w:rsid w:val="004B3FAA"/>
    <w:rsid w:val="004B5A62"/>
    <w:rsid w:val="004C2646"/>
    <w:rsid w:val="004C48EF"/>
    <w:rsid w:val="004C7A14"/>
    <w:rsid w:val="004D0D81"/>
    <w:rsid w:val="004D1D05"/>
    <w:rsid w:val="004D3F7E"/>
    <w:rsid w:val="004E50A8"/>
    <w:rsid w:val="004F73CD"/>
    <w:rsid w:val="00507FF1"/>
    <w:rsid w:val="0051066E"/>
    <w:rsid w:val="00514F73"/>
    <w:rsid w:val="005214AE"/>
    <w:rsid w:val="00522679"/>
    <w:rsid w:val="00527CC0"/>
    <w:rsid w:val="0053222B"/>
    <w:rsid w:val="00552048"/>
    <w:rsid w:val="00554042"/>
    <w:rsid w:val="00554597"/>
    <w:rsid w:val="0056659E"/>
    <w:rsid w:val="0057065E"/>
    <w:rsid w:val="00574175"/>
    <w:rsid w:val="00575142"/>
    <w:rsid w:val="00575DC8"/>
    <w:rsid w:val="00583096"/>
    <w:rsid w:val="00591668"/>
    <w:rsid w:val="005925E9"/>
    <w:rsid w:val="005A1F97"/>
    <w:rsid w:val="005B0E73"/>
    <w:rsid w:val="005B3B30"/>
    <w:rsid w:val="005B70C9"/>
    <w:rsid w:val="005C109E"/>
    <w:rsid w:val="005D3309"/>
    <w:rsid w:val="005E3E14"/>
    <w:rsid w:val="005E77B8"/>
    <w:rsid w:val="005F199E"/>
    <w:rsid w:val="0061142A"/>
    <w:rsid w:val="00624F93"/>
    <w:rsid w:val="00642E76"/>
    <w:rsid w:val="00642EAB"/>
    <w:rsid w:val="0064563D"/>
    <w:rsid w:val="006469B8"/>
    <w:rsid w:val="0066589E"/>
    <w:rsid w:val="00677A63"/>
    <w:rsid w:val="006A219B"/>
    <w:rsid w:val="006A3BFC"/>
    <w:rsid w:val="006C1084"/>
    <w:rsid w:val="006C595D"/>
    <w:rsid w:val="006C5C82"/>
    <w:rsid w:val="006D7509"/>
    <w:rsid w:val="006F38A2"/>
    <w:rsid w:val="00707E40"/>
    <w:rsid w:val="007478CA"/>
    <w:rsid w:val="00750154"/>
    <w:rsid w:val="00754446"/>
    <w:rsid w:val="00754C91"/>
    <w:rsid w:val="007619DE"/>
    <w:rsid w:val="00761F8F"/>
    <w:rsid w:val="00763387"/>
    <w:rsid w:val="007715B1"/>
    <w:rsid w:val="00782A89"/>
    <w:rsid w:val="007B5A0C"/>
    <w:rsid w:val="007C623E"/>
    <w:rsid w:val="007D46FA"/>
    <w:rsid w:val="007D6770"/>
    <w:rsid w:val="008033E2"/>
    <w:rsid w:val="008037A8"/>
    <w:rsid w:val="00806CAF"/>
    <w:rsid w:val="00810D8A"/>
    <w:rsid w:val="00813E49"/>
    <w:rsid w:val="00826717"/>
    <w:rsid w:val="008320F5"/>
    <w:rsid w:val="00836683"/>
    <w:rsid w:val="008401B7"/>
    <w:rsid w:val="008409B6"/>
    <w:rsid w:val="00844DE2"/>
    <w:rsid w:val="00845B4A"/>
    <w:rsid w:val="00854325"/>
    <w:rsid w:val="00863F3B"/>
    <w:rsid w:val="008653F1"/>
    <w:rsid w:val="0087716D"/>
    <w:rsid w:val="008B3D03"/>
    <w:rsid w:val="008C01BF"/>
    <w:rsid w:val="008C04FA"/>
    <w:rsid w:val="008C18E4"/>
    <w:rsid w:val="008D1E79"/>
    <w:rsid w:val="008E2F59"/>
    <w:rsid w:val="008F41B8"/>
    <w:rsid w:val="009001BE"/>
    <w:rsid w:val="00903663"/>
    <w:rsid w:val="00913F37"/>
    <w:rsid w:val="009232B4"/>
    <w:rsid w:val="0094178C"/>
    <w:rsid w:val="00961ECC"/>
    <w:rsid w:val="00964DA3"/>
    <w:rsid w:val="00981AF6"/>
    <w:rsid w:val="00990F7B"/>
    <w:rsid w:val="009A1488"/>
    <w:rsid w:val="009A28CB"/>
    <w:rsid w:val="009B05A8"/>
    <w:rsid w:val="009B18C5"/>
    <w:rsid w:val="009C40E1"/>
    <w:rsid w:val="009F56D5"/>
    <w:rsid w:val="00A03BB3"/>
    <w:rsid w:val="00A1728F"/>
    <w:rsid w:val="00A276D4"/>
    <w:rsid w:val="00A36BE4"/>
    <w:rsid w:val="00A50A52"/>
    <w:rsid w:val="00A61C77"/>
    <w:rsid w:val="00A62265"/>
    <w:rsid w:val="00A62DCC"/>
    <w:rsid w:val="00A64278"/>
    <w:rsid w:val="00A90834"/>
    <w:rsid w:val="00A94673"/>
    <w:rsid w:val="00A94DAF"/>
    <w:rsid w:val="00A9515B"/>
    <w:rsid w:val="00A9624A"/>
    <w:rsid w:val="00AA596A"/>
    <w:rsid w:val="00AB750A"/>
    <w:rsid w:val="00AC6CC7"/>
    <w:rsid w:val="00AD064C"/>
    <w:rsid w:val="00AD3CD7"/>
    <w:rsid w:val="00AF264B"/>
    <w:rsid w:val="00B02112"/>
    <w:rsid w:val="00B2030A"/>
    <w:rsid w:val="00B2035F"/>
    <w:rsid w:val="00B3145E"/>
    <w:rsid w:val="00B5293E"/>
    <w:rsid w:val="00B600EE"/>
    <w:rsid w:val="00B63711"/>
    <w:rsid w:val="00B63A83"/>
    <w:rsid w:val="00B65C0F"/>
    <w:rsid w:val="00B712D7"/>
    <w:rsid w:val="00B74B9B"/>
    <w:rsid w:val="00B80A37"/>
    <w:rsid w:val="00BA27A5"/>
    <w:rsid w:val="00BA7E57"/>
    <w:rsid w:val="00BB0229"/>
    <w:rsid w:val="00BE2BAC"/>
    <w:rsid w:val="00C13CD3"/>
    <w:rsid w:val="00C22269"/>
    <w:rsid w:val="00C31CC7"/>
    <w:rsid w:val="00C51307"/>
    <w:rsid w:val="00C52D5A"/>
    <w:rsid w:val="00C62C17"/>
    <w:rsid w:val="00C91706"/>
    <w:rsid w:val="00C95E1D"/>
    <w:rsid w:val="00CA0884"/>
    <w:rsid w:val="00CA3CC2"/>
    <w:rsid w:val="00CA3D76"/>
    <w:rsid w:val="00CA6E26"/>
    <w:rsid w:val="00CB181E"/>
    <w:rsid w:val="00CB4908"/>
    <w:rsid w:val="00CD126D"/>
    <w:rsid w:val="00CD588D"/>
    <w:rsid w:val="00CE52D0"/>
    <w:rsid w:val="00CE6CAF"/>
    <w:rsid w:val="00CF1274"/>
    <w:rsid w:val="00CF6055"/>
    <w:rsid w:val="00D004D9"/>
    <w:rsid w:val="00D03EC7"/>
    <w:rsid w:val="00D04E3F"/>
    <w:rsid w:val="00D1673E"/>
    <w:rsid w:val="00D21D64"/>
    <w:rsid w:val="00D23453"/>
    <w:rsid w:val="00D23971"/>
    <w:rsid w:val="00D43B63"/>
    <w:rsid w:val="00D46288"/>
    <w:rsid w:val="00D51E49"/>
    <w:rsid w:val="00D56360"/>
    <w:rsid w:val="00D63221"/>
    <w:rsid w:val="00D65955"/>
    <w:rsid w:val="00D8406E"/>
    <w:rsid w:val="00D91C9C"/>
    <w:rsid w:val="00D91FA1"/>
    <w:rsid w:val="00D92587"/>
    <w:rsid w:val="00D95468"/>
    <w:rsid w:val="00DA5B9E"/>
    <w:rsid w:val="00DB417D"/>
    <w:rsid w:val="00DB63D1"/>
    <w:rsid w:val="00DB7C2A"/>
    <w:rsid w:val="00DF209D"/>
    <w:rsid w:val="00DF59DA"/>
    <w:rsid w:val="00E22053"/>
    <w:rsid w:val="00E25EA1"/>
    <w:rsid w:val="00E277B0"/>
    <w:rsid w:val="00E30EF2"/>
    <w:rsid w:val="00E432E8"/>
    <w:rsid w:val="00E53975"/>
    <w:rsid w:val="00E55DB9"/>
    <w:rsid w:val="00E6692E"/>
    <w:rsid w:val="00E80B71"/>
    <w:rsid w:val="00E812A8"/>
    <w:rsid w:val="00EA36FC"/>
    <w:rsid w:val="00EC45F3"/>
    <w:rsid w:val="00EC5018"/>
    <w:rsid w:val="00EC708D"/>
    <w:rsid w:val="00ED15D9"/>
    <w:rsid w:val="00EE6574"/>
    <w:rsid w:val="00EE77AA"/>
    <w:rsid w:val="00EF33D9"/>
    <w:rsid w:val="00F0243D"/>
    <w:rsid w:val="00F12018"/>
    <w:rsid w:val="00F12CFB"/>
    <w:rsid w:val="00F133E5"/>
    <w:rsid w:val="00F34980"/>
    <w:rsid w:val="00F34C07"/>
    <w:rsid w:val="00F46F63"/>
    <w:rsid w:val="00F640F5"/>
    <w:rsid w:val="00F645CB"/>
    <w:rsid w:val="00F66B43"/>
    <w:rsid w:val="00F84A7A"/>
    <w:rsid w:val="00F93E18"/>
    <w:rsid w:val="00F9735B"/>
    <w:rsid w:val="00FA45A0"/>
    <w:rsid w:val="00FC444A"/>
    <w:rsid w:val="00FD352D"/>
    <w:rsid w:val="00FD5554"/>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560"/>
    <w:rPr>
      <w:color w:val="666666"/>
    </w:rPr>
  </w:style>
  <w:style w:type="paragraph" w:customStyle="1" w:styleId="5704E70F0C4C48DB98188B67CC3D93CF">
    <w:name w:val="5704E70F0C4C48DB98188B67CC3D93CF"/>
    <w:rsid w:val="000A3D24"/>
  </w:style>
  <w:style w:type="paragraph" w:customStyle="1" w:styleId="7A69FBF6854244CC9CBB0DBBFF6AA25D">
    <w:name w:val="7A69FBF6854244CC9CBB0DBBFF6AA25D"/>
    <w:rsid w:val="000C6560"/>
  </w:style>
  <w:style w:type="paragraph" w:customStyle="1" w:styleId="D1CCC6F015A148D78406C136BF2A263F">
    <w:name w:val="D1CCC6F015A148D78406C136BF2A263F"/>
    <w:rsid w:val="000C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E43BC-2744-41AE-9C3B-880330E4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7689</Words>
  <Characters>43829</Characters>
  <Application>Microsoft Office Word</Application>
  <DocSecurity>0</DocSecurity>
  <Lines>365</Lines>
  <Paragraphs>102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Список на кратенки</vt:lpstr>
      <vt:lpstr>1. Вовед</vt:lpstr>
      <vt:lpstr>2. Зелено финансирање за малите и средни претпријатија и претприемачи</vt:lpstr>
      <vt:lpstr>2.1 Што точно е таканареченото зелено финансирање? </vt:lpstr>
      <vt:lpstr>Во 2023 година, Народната банка на Северна Македонија забележа раст на зелените </vt:lpstr>
      <vt:lpstr>Владата на Северна Македонија, исто така, презеде чекори за унапредување на зеле</vt:lpstr>
      <vt:lpstr>Фондот за зелен развој (GDF) е исто така активен во регионот, обезбедувајќи фина</vt:lpstr>
      <vt:lpstr>Овие податоци покажуваат дека Северна Македонија постепено ги интегрира принципи</vt:lpstr>
      <vt:lpstr/>
      <vt:lpstr>3. Озеленување бизнис, принципи и критериуми на зелено финансирање </vt:lpstr>
      <vt:lpstr>        3.1. Принципи и критериуми на зелено финансирање </vt:lpstr>
      <vt:lpstr>        3.2. Критериуми за ESG (еколошки, социјални и владеење) </vt:lpstr>
      <vt:lpstr>        3.3. Таксономија на ЕУ и стандарди за одржливо финансирање </vt:lpstr>
      <vt:lpstr>        3.4. Примери на финансирани проекти  </vt:lpstr>
      <vt:lpstr>4. Преглед на достапни зелени финансиски инструменти во Северна Македонија </vt:lpstr>
      <vt:lpstr>5. Литература</vt:lpstr>
      <vt:lpstr>6. Прилози</vt:lpstr>
    </vt:vector>
  </TitlesOfParts>
  <Company/>
  <LinksUpToDate>false</LinksUpToDate>
  <CharactersWithSpaces>51416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4</cp:revision>
  <cp:lastPrinted>2025-01-02T09:22:00Z</cp:lastPrinted>
  <dcterms:created xsi:type="dcterms:W3CDTF">2025-05-27T08:29:00Z</dcterms:created>
  <dcterms:modified xsi:type="dcterms:W3CDTF">2025-05-28T09:18:00Z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a7a5a964ba0c8c7d4f051aa92a517c8a3dcbbd10769d4140efde4d75d92b7475</vt:lpwstr>
  </property>
</Properties>
</file>